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1620"/>
        </w:tabs>
        <w:jc w:val="center"/>
        <w:rPr>
          <w:sz w:val="32"/>
          <w:szCs w:val="28"/>
          <w:highlight w:val="none"/>
        </w:rPr>
      </w:pPr>
    </w:p>
    <w:p>
      <w:pPr>
        <w:jc w:val="center"/>
        <w:rPr>
          <w:sz w:val="32"/>
          <w:szCs w:val="28"/>
          <w:highlight w:val="none"/>
        </w:rPr>
      </w:pPr>
    </w:p>
    <w:p>
      <w:pPr>
        <w:jc w:val="center"/>
        <w:rPr>
          <w:sz w:val="32"/>
          <w:szCs w:val="28"/>
          <w:highlight w:val="none"/>
        </w:rPr>
      </w:pPr>
    </w:p>
    <w:p>
      <w:pPr>
        <w:jc w:val="center"/>
        <w:rPr>
          <w:b/>
          <w:sz w:val="13"/>
          <w:szCs w:val="11"/>
          <w:highlight w:val="none"/>
        </w:rPr>
      </w:pPr>
    </w:p>
    <w:p>
      <w:pPr>
        <w:jc w:val="center"/>
        <w:rPr>
          <w:b/>
          <w:sz w:val="13"/>
          <w:szCs w:val="11"/>
          <w:highlight w:val="none"/>
        </w:rPr>
      </w:pPr>
    </w:p>
    <w:p>
      <w:pPr>
        <w:spacing w:before="381" w:beforeLines="100" w:line="480" w:lineRule="auto"/>
        <w:jc w:val="center"/>
        <w:rPr>
          <w:rFonts w:ascii="黑体" w:hAnsi="黑体" w:eastAsia="黑体"/>
          <w:b/>
          <w:sz w:val="72"/>
          <w:szCs w:val="72"/>
          <w:highlight w:val="none"/>
        </w:rPr>
      </w:pPr>
      <w:r>
        <w:rPr>
          <w:rFonts w:hint="eastAsia" w:ascii="黑体" w:hAnsi="黑体" w:eastAsia="黑体"/>
          <w:b/>
          <w:sz w:val="72"/>
          <w:szCs w:val="72"/>
          <w:highlight w:val="none"/>
          <w:lang w:val="en-US" w:eastAsia="zh-CN"/>
        </w:rPr>
        <w:t>宜春市</w:t>
      </w:r>
      <w:r>
        <w:rPr>
          <w:rFonts w:hint="eastAsia" w:ascii="黑体" w:hAnsi="黑体" w:eastAsia="黑体"/>
          <w:b/>
          <w:sz w:val="72"/>
          <w:szCs w:val="72"/>
          <w:highlight w:val="none"/>
        </w:rPr>
        <w:t>智慧经济</w:t>
      </w:r>
      <w:r>
        <w:rPr>
          <w:rFonts w:hint="eastAsia" w:ascii="黑体" w:hAnsi="黑体" w:eastAsia="黑体"/>
          <w:b/>
          <w:sz w:val="72"/>
          <w:szCs w:val="72"/>
          <w:highlight w:val="none"/>
          <w:lang w:eastAsia="zh-CN"/>
        </w:rPr>
        <w:t>产业</w:t>
      </w:r>
      <w:r>
        <w:rPr>
          <w:rFonts w:hint="eastAsia" w:ascii="黑体" w:hAnsi="黑体" w:eastAsia="黑体"/>
          <w:b/>
          <w:sz w:val="72"/>
          <w:szCs w:val="72"/>
          <w:highlight w:val="none"/>
        </w:rPr>
        <w:t>特色</w:t>
      </w:r>
    </w:p>
    <w:p>
      <w:pPr>
        <w:spacing w:before="381" w:beforeLines="100" w:line="480" w:lineRule="auto"/>
        <w:jc w:val="center"/>
        <w:rPr>
          <w:rFonts w:ascii="黑体" w:hAnsi="黑体" w:eastAsia="黑体"/>
          <w:b/>
          <w:sz w:val="72"/>
          <w:szCs w:val="72"/>
          <w:highlight w:val="none"/>
        </w:rPr>
      </w:pPr>
      <w:r>
        <w:rPr>
          <w:rFonts w:hint="eastAsia" w:ascii="黑体" w:hAnsi="黑体" w:eastAsia="黑体"/>
          <w:b/>
          <w:sz w:val="72"/>
          <w:szCs w:val="72"/>
          <w:highlight w:val="none"/>
        </w:rPr>
        <w:t>小镇发展规划</w:t>
      </w:r>
    </w:p>
    <w:p>
      <w:pPr>
        <w:spacing w:before="381" w:beforeLines="100" w:line="480" w:lineRule="auto"/>
        <w:jc w:val="center"/>
        <w:rPr>
          <w:rFonts w:ascii="黑体" w:hAnsi="黑体" w:eastAsia="黑体"/>
          <w:b/>
          <w:sz w:val="72"/>
          <w:szCs w:val="72"/>
          <w:highlight w:val="none"/>
        </w:rPr>
      </w:pPr>
    </w:p>
    <w:p>
      <w:pPr>
        <w:jc w:val="center"/>
        <w:rPr>
          <w:sz w:val="48"/>
          <w:highlight w:val="none"/>
        </w:rPr>
      </w:pPr>
    </w:p>
    <w:p>
      <w:pPr>
        <w:jc w:val="center"/>
        <w:rPr>
          <w:sz w:val="48"/>
          <w:highlight w:val="none"/>
        </w:rPr>
      </w:pPr>
    </w:p>
    <w:p>
      <w:pPr>
        <w:jc w:val="center"/>
        <w:rPr>
          <w:sz w:val="48"/>
          <w:highlight w:val="none"/>
        </w:rPr>
      </w:pPr>
    </w:p>
    <w:p>
      <w:pPr>
        <w:jc w:val="center"/>
        <w:rPr>
          <w:sz w:val="48"/>
          <w:highlight w:val="none"/>
        </w:rPr>
      </w:pPr>
    </w:p>
    <w:p>
      <w:pPr>
        <w:jc w:val="center"/>
        <w:rPr>
          <w:sz w:val="48"/>
          <w:highlight w:val="none"/>
        </w:rPr>
      </w:pPr>
    </w:p>
    <w:p>
      <w:pPr>
        <w:jc w:val="center"/>
        <w:rPr>
          <w:sz w:val="40"/>
          <w:highlight w:val="none"/>
        </w:rPr>
      </w:pPr>
    </w:p>
    <w:p>
      <w:pPr>
        <w:jc w:val="center"/>
        <w:rPr>
          <w:rFonts w:ascii="黑体" w:hAnsi="黑体" w:eastAsia="黑体"/>
          <w:b/>
          <w:sz w:val="44"/>
          <w:szCs w:val="36"/>
          <w:highlight w:val="none"/>
        </w:rPr>
      </w:pPr>
      <w:r>
        <w:rPr>
          <w:rFonts w:hint="eastAsia" w:ascii="黑体" w:hAnsi="黑体" w:eastAsia="黑体"/>
          <w:b/>
          <w:sz w:val="44"/>
          <w:szCs w:val="36"/>
          <w:highlight w:val="none"/>
        </w:rPr>
        <w:t>中国</w:t>
      </w:r>
      <w:r>
        <w:rPr>
          <w:rFonts w:ascii="黑体" w:hAnsi="黑体" w:eastAsia="黑体"/>
          <w:b/>
          <w:sz w:val="44"/>
          <w:szCs w:val="36"/>
          <w:highlight w:val="none"/>
        </w:rPr>
        <w:t>信息通信研究院</w:t>
      </w:r>
    </w:p>
    <w:p>
      <w:pPr>
        <w:pStyle w:val="21"/>
        <w:ind w:left="115" w:leftChars="41"/>
        <w:jc w:val="center"/>
        <w:rPr>
          <w:rFonts w:ascii="黑体" w:hAnsi="黑体" w:eastAsia="黑体"/>
          <w:szCs w:val="36"/>
          <w:highlight w:val="none"/>
        </w:rPr>
        <w:sectPr>
          <w:footerReference r:id="rId3" w:type="default"/>
          <w:type w:val="continuous"/>
          <w:pgSz w:w="11906" w:h="16838"/>
          <w:pgMar w:top="1440" w:right="1800" w:bottom="1440" w:left="1800" w:header="851" w:footer="992" w:gutter="0"/>
          <w:pgNumType w:start="1"/>
          <w:cols w:space="425" w:num="1"/>
          <w:docGrid w:type="lines" w:linePitch="381" w:charSpace="0"/>
        </w:sectPr>
      </w:pPr>
      <w:r>
        <w:rPr>
          <w:rFonts w:ascii="黑体" w:hAnsi="黑体" w:eastAsia="黑体"/>
          <w:szCs w:val="36"/>
          <w:highlight w:val="none"/>
        </w:rPr>
        <w:t>二〇一</w:t>
      </w:r>
      <w:r>
        <w:rPr>
          <w:rFonts w:hint="eastAsia" w:ascii="黑体" w:hAnsi="黑体" w:eastAsia="黑体"/>
          <w:szCs w:val="36"/>
          <w:highlight w:val="none"/>
        </w:rPr>
        <w:t>九</w:t>
      </w:r>
      <w:r>
        <w:rPr>
          <w:rFonts w:ascii="黑体" w:hAnsi="黑体" w:eastAsia="黑体"/>
          <w:szCs w:val="36"/>
          <w:highlight w:val="none"/>
        </w:rPr>
        <w:t>年</w:t>
      </w:r>
      <w:r>
        <w:rPr>
          <w:rFonts w:hint="eastAsia" w:ascii="黑体" w:hAnsi="黑体" w:eastAsia="黑体"/>
          <w:szCs w:val="36"/>
          <w:highlight w:val="none"/>
          <w:lang w:eastAsia="zh-CN"/>
        </w:rPr>
        <w:t>八</w:t>
      </w:r>
      <w:r>
        <w:rPr>
          <w:rFonts w:ascii="黑体" w:hAnsi="黑体" w:eastAsia="黑体"/>
          <w:szCs w:val="36"/>
          <w:highlight w:val="none"/>
        </w:rPr>
        <w:t>月</w:t>
      </w:r>
    </w:p>
    <w:sdt>
      <w:sdtPr>
        <w:rPr>
          <w:rFonts w:eastAsia="仿宋_GB2312" w:asciiTheme="minorHAnsi" w:hAnsiTheme="minorHAnsi" w:cstheme="minorBidi"/>
          <w:b w:val="0"/>
          <w:bCs w:val="0"/>
          <w:kern w:val="2"/>
          <w:sz w:val="28"/>
          <w:szCs w:val="22"/>
          <w:highlight w:val="none"/>
          <w:lang w:val="zh-CN"/>
        </w:rPr>
        <w:id w:val="453064671"/>
        <w:docPartObj>
          <w:docPartGallery w:val="Table of Contents"/>
          <w:docPartUnique/>
        </w:docPartObj>
      </w:sdtPr>
      <w:sdtEndPr>
        <w:rPr>
          <w:rFonts w:eastAsia="仿宋_GB2312" w:asciiTheme="minorHAnsi" w:hAnsiTheme="minorHAnsi" w:cstheme="minorBidi"/>
          <w:b w:val="0"/>
          <w:bCs w:val="0"/>
          <w:kern w:val="2"/>
          <w:sz w:val="28"/>
          <w:szCs w:val="22"/>
          <w:highlight w:val="none"/>
          <w:lang w:val="zh-CN"/>
        </w:rPr>
      </w:sdtEndPr>
      <w:sdtContent>
        <w:p>
          <w:pPr>
            <w:pStyle w:val="92"/>
            <w:jc w:val="center"/>
            <w:rPr>
              <w:highlight w:val="none"/>
            </w:rPr>
          </w:pPr>
          <w:r>
            <w:rPr>
              <w:highlight w:val="none"/>
              <w:lang w:val="zh-CN"/>
            </w:rPr>
            <w:t>目录</w:t>
          </w:r>
        </w:p>
        <w:p>
          <w:pPr>
            <w:pStyle w:val="30"/>
            <w:rPr>
              <w:rFonts w:ascii="仿宋_GB2312" w:hAnsiTheme="minorHAnsi" w:cstheme="minorBidi"/>
              <w:smallCaps w:val="0"/>
              <w:sz w:val="24"/>
              <w:szCs w:val="24"/>
              <w:highlight w:val="none"/>
            </w:rPr>
          </w:pPr>
          <w:r>
            <w:rPr>
              <w:rFonts w:hint="eastAsia" w:ascii="仿宋_GB2312"/>
              <w:iCs/>
              <w:sz w:val="24"/>
              <w:szCs w:val="24"/>
              <w:highlight w:val="none"/>
            </w:rPr>
            <w:fldChar w:fldCharType="begin"/>
          </w:r>
          <w:r>
            <w:rPr>
              <w:rFonts w:hint="eastAsia" w:ascii="仿宋_GB2312"/>
              <w:iCs/>
              <w:sz w:val="24"/>
              <w:szCs w:val="24"/>
              <w:highlight w:val="none"/>
            </w:rPr>
            <w:instrText xml:space="preserve"> TOC \o "1-4" \h \z \u </w:instrText>
          </w:r>
          <w:r>
            <w:rPr>
              <w:rFonts w:hint="eastAsia" w:ascii="仿宋_GB2312"/>
              <w:iCs/>
              <w:sz w:val="24"/>
              <w:szCs w:val="24"/>
              <w:highlight w:val="none"/>
            </w:rPr>
            <w:fldChar w:fldCharType="separate"/>
          </w:r>
          <w:r>
            <w:rPr>
              <w:highlight w:val="none"/>
            </w:rPr>
            <w:fldChar w:fldCharType="begin"/>
          </w:r>
          <w:r>
            <w:rPr>
              <w:highlight w:val="none"/>
            </w:rPr>
            <w:instrText xml:space="preserve"> HYPERLINK \l "_Toc528843176" </w:instrText>
          </w:r>
          <w:r>
            <w:rPr>
              <w:highlight w:val="none"/>
            </w:rPr>
            <w:fldChar w:fldCharType="separate"/>
          </w:r>
          <w:r>
            <w:rPr>
              <w:rStyle w:val="43"/>
              <w:rFonts w:hint="eastAsia" w:ascii="仿宋_GB2312"/>
              <w:sz w:val="24"/>
              <w:szCs w:val="24"/>
              <w:highlight w:val="none"/>
            </w:rPr>
            <w:t>一、建设背景与意义</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_Toc528843176 \h </w:instrText>
          </w:r>
          <w:r>
            <w:rPr>
              <w:rFonts w:hint="eastAsia" w:ascii="仿宋_GB2312"/>
              <w:sz w:val="24"/>
              <w:szCs w:val="24"/>
              <w:highlight w:val="none"/>
            </w:rPr>
            <w:fldChar w:fldCharType="separate"/>
          </w:r>
          <w:r>
            <w:rPr>
              <w:rFonts w:ascii="仿宋_GB2312"/>
              <w:sz w:val="24"/>
              <w:szCs w:val="24"/>
              <w:highlight w:val="none"/>
            </w:rPr>
            <w:t>1</w:t>
          </w:r>
          <w:r>
            <w:rPr>
              <w:rFonts w:hint="eastAsia" w:ascii="仿宋_GB2312"/>
              <w:sz w:val="24"/>
              <w:szCs w:val="24"/>
              <w:highlight w:val="none"/>
            </w:rPr>
            <w:fldChar w:fldCharType="end"/>
          </w:r>
          <w:r>
            <w:rPr>
              <w:rFonts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"_Toc528843177" </w:instrText>
          </w:r>
          <w:r>
            <w:rPr>
              <w:highlight w:val="none"/>
            </w:rPr>
            <w:fldChar w:fldCharType="separate"/>
          </w:r>
          <w:r>
            <w:rPr>
              <w:rStyle w:val="43"/>
              <w:rFonts w:hint="eastAsia" w:ascii="仿宋_GB2312"/>
              <w:i w:val="0"/>
              <w:sz w:val="24"/>
              <w:szCs w:val="24"/>
              <w:highlight w:val="none"/>
            </w:rPr>
            <w:t>（一）发展形势</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_Toc528843177 \h </w:instrText>
          </w:r>
          <w:r>
            <w:rPr>
              <w:rFonts w:hint="eastAsia" w:ascii="仿宋_GB2312"/>
              <w:i w:val="0"/>
              <w:sz w:val="24"/>
              <w:szCs w:val="24"/>
              <w:highlight w:val="none"/>
            </w:rPr>
            <w:fldChar w:fldCharType="separate"/>
          </w:r>
          <w:r>
            <w:rPr>
              <w:rFonts w:ascii="仿宋_GB2312"/>
              <w:i w:val="0"/>
              <w:sz w:val="24"/>
              <w:szCs w:val="24"/>
              <w:highlight w:val="none"/>
            </w:rPr>
            <w:t>1</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"_Toc528843178" </w:instrText>
          </w:r>
          <w:r>
            <w:rPr>
              <w:highlight w:val="none"/>
            </w:rPr>
            <w:fldChar w:fldCharType="separate"/>
          </w:r>
          <w:r>
            <w:rPr>
              <w:rStyle w:val="43"/>
              <w:rFonts w:hint="eastAsia" w:ascii="仿宋_GB2312"/>
              <w:i w:val="0"/>
              <w:sz w:val="24"/>
              <w:szCs w:val="24"/>
              <w:highlight w:val="none"/>
            </w:rPr>
            <w:t>（二）建设意义</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_Toc528843178 \h </w:instrText>
          </w:r>
          <w:r>
            <w:rPr>
              <w:rFonts w:hint="eastAsia" w:ascii="仿宋_GB2312"/>
              <w:i w:val="0"/>
              <w:sz w:val="24"/>
              <w:szCs w:val="24"/>
              <w:highlight w:val="none"/>
            </w:rPr>
            <w:fldChar w:fldCharType="separate"/>
          </w:r>
          <w:r>
            <w:rPr>
              <w:rFonts w:ascii="仿宋_GB2312"/>
              <w:i w:val="0"/>
              <w:sz w:val="24"/>
              <w:szCs w:val="24"/>
              <w:highlight w:val="none"/>
            </w:rPr>
            <w:t>3</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"_Toc528843179" </w:instrText>
          </w:r>
          <w:r>
            <w:rPr>
              <w:highlight w:val="none"/>
            </w:rPr>
            <w:fldChar w:fldCharType="separate"/>
          </w:r>
          <w:r>
            <w:rPr>
              <w:rStyle w:val="43"/>
              <w:rFonts w:hint="eastAsia" w:ascii="仿宋_GB2312"/>
              <w:i w:val="0"/>
              <w:sz w:val="24"/>
              <w:szCs w:val="24"/>
              <w:highlight w:val="none"/>
            </w:rPr>
            <w:t>（三）建设要求</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_Toc528843179 \h </w:instrText>
          </w:r>
          <w:r>
            <w:rPr>
              <w:rFonts w:hint="eastAsia" w:ascii="仿宋_GB2312"/>
              <w:i w:val="0"/>
              <w:sz w:val="24"/>
              <w:szCs w:val="24"/>
              <w:highlight w:val="none"/>
            </w:rPr>
            <w:fldChar w:fldCharType="separate"/>
          </w:r>
          <w:r>
            <w:rPr>
              <w:rFonts w:ascii="仿宋_GB2312"/>
              <w:i w:val="0"/>
              <w:sz w:val="24"/>
              <w:szCs w:val="24"/>
              <w:highlight w:val="none"/>
            </w:rPr>
            <w:t>4</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30"/>
            <w:rPr>
              <w:rFonts w:ascii="仿宋_GB2312" w:hAnsiTheme="minorHAnsi" w:cstheme="minorBidi"/>
              <w:smallCaps w:val="0"/>
              <w:sz w:val="24"/>
              <w:szCs w:val="24"/>
              <w:highlight w:val="none"/>
            </w:rPr>
          </w:pPr>
          <w:r>
            <w:rPr>
              <w:highlight w:val="none"/>
            </w:rPr>
            <w:fldChar w:fldCharType="begin"/>
          </w:r>
          <w:r>
            <w:rPr>
              <w:highlight w:val="none"/>
            </w:rPr>
            <w:instrText xml:space="preserve"> HYPERLINK \l "_Toc528843180" </w:instrText>
          </w:r>
          <w:r>
            <w:rPr>
              <w:highlight w:val="none"/>
            </w:rPr>
            <w:fldChar w:fldCharType="separate"/>
          </w:r>
          <w:r>
            <w:rPr>
              <w:rStyle w:val="43"/>
              <w:rFonts w:hint="eastAsia" w:ascii="仿宋_GB2312"/>
              <w:sz w:val="24"/>
              <w:szCs w:val="24"/>
              <w:highlight w:val="none"/>
            </w:rPr>
            <w:t>二、建设思路与目标</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_Toc528843180 \h </w:instrText>
          </w:r>
          <w:r>
            <w:rPr>
              <w:rFonts w:hint="eastAsia" w:ascii="仿宋_GB2312"/>
              <w:sz w:val="24"/>
              <w:szCs w:val="24"/>
              <w:highlight w:val="none"/>
            </w:rPr>
            <w:fldChar w:fldCharType="separate"/>
          </w:r>
          <w:r>
            <w:rPr>
              <w:rFonts w:ascii="仿宋_GB2312"/>
              <w:sz w:val="24"/>
              <w:szCs w:val="24"/>
              <w:highlight w:val="none"/>
            </w:rPr>
            <w:t>6</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"_Toc528843181" </w:instrText>
          </w:r>
          <w:r>
            <w:rPr>
              <w:highlight w:val="none"/>
            </w:rPr>
            <w:fldChar w:fldCharType="separate"/>
          </w:r>
          <w:r>
            <w:rPr>
              <w:rStyle w:val="43"/>
              <w:rFonts w:hint="eastAsia" w:ascii="仿宋_GB2312"/>
              <w:i w:val="0"/>
              <w:sz w:val="24"/>
              <w:szCs w:val="24"/>
              <w:highlight w:val="none"/>
            </w:rPr>
            <w:t>（一）发展定位</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_Toc528843181 \h </w:instrText>
          </w:r>
          <w:r>
            <w:rPr>
              <w:rFonts w:hint="eastAsia" w:ascii="仿宋_GB2312"/>
              <w:i w:val="0"/>
              <w:sz w:val="24"/>
              <w:szCs w:val="24"/>
              <w:highlight w:val="none"/>
            </w:rPr>
            <w:fldChar w:fldCharType="separate"/>
          </w:r>
          <w:r>
            <w:rPr>
              <w:rFonts w:ascii="仿宋_GB2312"/>
              <w:i w:val="0"/>
              <w:sz w:val="24"/>
              <w:szCs w:val="24"/>
              <w:highlight w:val="none"/>
            </w:rPr>
            <w:t>6</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"_Toc528843182" </w:instrText>
          </w:r>
          <w:r>
            <w:rPr>
              <w:highlight w:val="none"/>
            </w:rPr>
            <w:fldChar w:fldCharType="separate"/>
          </w:r>
          <w:r>
            <w:rPr>
              <w:rStyle w:val="43"/>
              <w:rFonts w:hint="eastAsia" w:ascii="仿宋_GB2312"/>
              <w:i w:val="0"/>
              <w:sz w:val="24"/>
              <w:szCs w:val="24"/>
              <w:highlight w:val="none"/>
            </w:rPr>
            <w:t>（二）发展思路</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_Toc528843182 \h </w:instrText>
          </w:r>
          <w:r>
            <w:rPr>
              <w:rFonts w:hint="eastAsia" w:ascii="仿宋_GB2312"/>
              <w:i w:val="0"/>
              <w:sz w:val="24"/>
              <w:szCs w:val="24"/>
              <w:highlight w:val="none"/>
            </w:rPr>
            <w:fldChar w:fldCharType="separate"/>
          </w:r>
          <w:r>
            <w:rPr>
              <w:rFonts w:ascii="仿宋_GB2312"/>
              <w:i w:val="0"/>
              <w:sz w:val="24"/>
              <w:szCs w:val="24"/>
              <w:highlight w:val="none"/>
            </w:rPr>
            <w:t>7</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"_Toc528843183" </w:instrText>
          </w:r>
          <w:r>
            <w:rPr>
              <w:highlight w:val="none"/>
            </w:rPr>
            <w:fldChar w:fldCharType="separate"/>
          </w:r>
          <w:r>
            <w:rPr>
              <w:rStyle w:val="43"/>
              <w:rFonts w:hint="eastAsia" w:ascii="仿宋_GB2312"/>
              <w:i w:val="0"/>
              <w:sz w:val="24"/>
              <w:szCs w:val="24"/>
              <w:highlight w:val="none"/>
            </w:rPr>
            <w:t>（三）发展目标</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_Toc528843183 \h </w:instrText>
          </w:r>
          <w:r>
            <w:rPr>
              <w:rFonts w:hint="eastAsia" w:ascii="仿宋_GB2312"/>
              <w:i w:val="0"/>
              <w:sz w:val="24"/>
              <w:szCs w:val="24"/>
              <w:highlight w:val="none"/>
            </w:rPr>
            <w:fldChar w:fldCharType="separate"/>
          </w:r>
          <w:r>
            <w:rPr>
              <w:rFonts w:ascii="仿宋_GB2312"/>
              <w:i w:val="0"/>
              <w:sz w:val="24"/>
              <w:szCs w:val="24"/>
              <w:highlight w:val="none"/>
            </w:rPr>
            <w:t>8</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"_Toc528843184" </w:instrText>
          </w:r>
          <w:r>
            <w:rPr>
              <w:highlight w:val="none"/>
            </w:rPr>
            <w:fldChar w:fldCharType="separate"/>
          </w:r>
          <w:r>
            <w:rPr>
              <w:rStyle w:val="43"/>
              <w:rFonts w:hint="eastAsia" w:ascii="仿宋_GB2312"/>
              <w:i w:val="0"/>
              <w:sz w:val="24"/>
              <w:szCs w:val="24"/>
              <w:highlight w:val="none"/>
            </w:rPr>
            <w:t>（四）发展路径</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_Toc528843184 \h </w:instrText>
          </w:r>
          <w:r>
            <w:rPr>
              <w:rFonts w:hint="eastAsia" w:ascii="仿宋_GB2312"/>
              <w:i w:val="0"/>
              <w:sz w:val="24"/>
              <w:szCs w:val="24"/>
              <w:highlight w:val="none"/>
            </w:rPr>
            <w:fldChar w:fldCharType="separate"/>
          </w:r>
          <w:r>
            <w:rPr>
              <w:rFonts w:ascii="仿宋_GB2312"/>
              <w:i w:val="0"/>
              <w:sz w:val="24"/>
              <w:szCs w:val="24"/>
              <w:highlight w:val="none"/>
            </w:rPr>
            <w:t>9</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30"/>
            <w:rPr>
              <w:rFonts w:ascii="仿宋_GB2312" w:hAnsiTheme="minorHAnsi" w:cstheme="minorBidi"/>
              <w:smallCaps w:val="0"/>
              <w:sz w:val="24"/>
              <w:szCs w:val="24"/>
              <w:highlight w:val="none"/>
            </w:rPr>
          </w:pPr>
          <w:r>
            <w:rPr>
              <w:highlight w:val="none"/>
            </w:rPr>
            <w:fldChar w:fldCharType="begin"/>
          </w:r>
          <w:r>
            <w:rPr>
              <w:highlight w:val="none"/>
            </w:rPr>
            <w:instrText xml:space="preserve"> HYPERLINK \l "_Toc528843185" </w:instrText>
          </w:r>
          <w:r>
            <w:rPr>
              <w:highlight w:val="none"/>
            </w:rPr>
            <w:fldChar w:fldCharType="separate"/>
          </w:r>
          <w:r>
            <w:rPr>
              <w:rStyle w:val="43"/>
              <w:rFonts w:hint="eastAsia" w:ascii="仿宋_GB2312"/>
              <w:sz w:val="24"/>
              <w:szCs w:val="24"/>
              <w:highlight w:val="none"/>
            </w:rPr>
            <w:t>三、产业发展重点任务</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_Toc528843185 \h </w:instrText>
          </w:r>
          <w:r>
            <w:rPr>
              <w:rFonts w:hint="eastAsia" w:ascii="仿宋_GB2312"/>
              <w:sz w:val="24"/>
              <w:szCs w:val="24"/>
              <w:highlight w:val="none"/>
            </w:rPr>
            <w:fldChar w:fldCharType="separate"/>
          </w:r>
          <w:r>
            <w:rPr>
              <w:rFonts w:ascii="仿宋_GB2312"/>
              <w:sz w:val="24"/>
              <w:szCs w:val="24"/>
              <w:highlight w:val="none"/>
            </w:rPr>
            <w:t>10</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"_Toc528843186" </w:instrText>
          </w:r>
          <w:r>
            <w:rPr>
              <w:highlight w:val="none"/>
            </w:rPr>
            <w:fldChar w:fldCharType="separate"/>
          </w:r>
          <w:r>
            <w:rPr>
              <w:rStyle w:val="43"/>
              <w:rFonts w:hint="eastAsia" w:ascii="仿宋_GB2312"/>
              <w:i w:val="0"/>
              <w:sz w:val="24"/>
              <w:szCs w:val="24"/>
              <w:highlight w:val="none"/>
            </w:rPr>
            <w:t>（一）打造智慧服务基地，服务智慧城市</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_Toc528843186 \h </w:instrText>
          </w:r>
          <w:r>
            <w:rPr>
              <w:rFonts w:hint="eastAsia" w:ascii="仿宋_GB2312"/>
              <w:i w:val="0"/>
              <w:sz w:val="24"/>
              <w:szCs w:val="24"/>
              <w:highlight w:val="none"/>
            </w:rPr>
            <w:fldChar w:fldCharType="separate"/>
          </w:r>
          <w:r>
            <w:rPr>
              <w:rFonts w:ascii="仿宋_GB2312"/>
              <w:i w:val="0"/>
              <w:sz w:val="24"/>
              <w:szCs w:val="24"/>
              <w:highlight w:val="none"/>
            </w:rPr>
            <w:t>11</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"_Toc528843187" </w:instrText>
          </w:r>
          <w:r>
            <w:rPr>
              <w:highlight w:val="none"/>
            </w:rPr>
            <w:fldChar w:fldCharType="separate"/>
          </w:r>
          <w:r>
            <w:rPr>
              <w:rStyle w:val="43"/>
              <w:rFonts w:hint="eastAsia" w:ascii="仿宋_GB2312" w:hAnsi="黑体"/>
              <w:sz w:val="24"/>
              <w:szCs w:val="24"/>
              <w:highlight w:val="none"/>
            </w:rPr>
            <w:t>1.1发展政务服务大数据，提升互联网+政务服务水平</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_Toc528843187 \h </w:instrText>
          </w:r>
          <w:r>
            <w:rPr>
              <w:rFonts w:hint="eastAsia" w:ascii="仿宋_GB2312"/>
              <w:sz w:val="24"/>
              <w:szCs w:val="24"/>
              <w:highlight w:val="none"/>
            </w:rPr>
            <w:fldChar w:fldCharType="separate"/>
          </w:r>
          <w:r>
            <w:rPr>
              <w:rFonts w:ascii="仿宋_GB2312"/>
              <w:sz w:val="24"/>
              <w:szCs w:val="24"/>
              <w:highlight w:val="none"/>
            </w:rPr>
            <w:t>11</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"_Toc528843188" </w:instrText>
          </w:r>
          <w:r>
            <w:rPr>
              <w:highlight w:val="none"/>
            </w:rPr>
            <w:fldChar w:fldCharType="separate"/>
          </w:r>
          <w:r>
            <w:rPr>
              <w:rStyle w:val="43"/>
              <w:rFonts w:hint="eastAsia" w:ascii="仿宋_GB2312" w:hAnsi="黑体"/>
              <w:sz w:val="24"/>
              <w:szCs w:val="24"/>
              <w:highlight w:val="none"/>
            </w:rPr>
            <w:t>1.2发展民生服务大数据，激发民生服务创新应用活力</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_Toc528843188 \h </w:instrText>
          </w:r>
          <w:r>
            <w:rPr>
              <w:rFonts w:hint="eastAsia" w:ascii="仿宋_GB2312"/>
              <w:sz w:val="24"/>
              <w:szCs w:val="24"/>
              <w:highlight w:val="none"/>
            </w:rPr>
            <w:fldChar w:fldCharType="separate"/>
          </w:r>
          <w:r>
            <w:rPr>
              <w:rFonts w:ascii="仿宋_GB2312"/>
              <w:sz w:val="24"/>
              <w:szCs w:val="24"/>
              <w:highlight w:val="none"/>
            </w:rPr>
            <w:t>14</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"_Toc528843189" </w:instrText>
          </w:r>
          <w:r>
            <w:rPr>
              <w:highlight w:val="none"/>
            </w:rPr>
            <w:fldChar w:fldCharType="separate"/>
          </w:r>
          <w:r>
            <w:rPr>
              <w:rStyle w:val="43"/>
              <w:rFonts w:hint="eastAsia" w:ascii="仿宋_GB2312" w:hAnsi="黑体"/>
              <w:sz w:val="24"/>
              <w:szCs w:val="24"/>
              <w:highlight w:val="none"/>
            </w:rPr>
            <w:t>1.3发展城市管理大数据，打造全市智慧城市运营中心</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_Toc528843189 \h </w:instrText>
          </w:r>
          <w:r>
            <w:rPr>
              <w:rFonts w:hint="eastAsia" w:ascii="仿宋_GB2312"/>
              <w:sz w:val="24"/>
              <w:szCs w:val="24"/>
              <w:highlight w:val="none"/>
            </w:rPr>
            <w:fldChar w:fldCharType="separate"/>
          </w:r>
          <w:r>
            <w:rPr>
              <w:rFonts w:ascii="仿宋_GB2312"/>
              <w:sz w:val="24"/>
              <w:szCs w:val="24"/>
              <w:highlight w:val="none"/>
            </w:rPr>
            <w:t>17</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"_Toc528843190" </w:instrText>
          </w:r>
          <w:r>
            <w:rPr>
              <w:highlight w:val="none"/>
            </w:rPr>
            <w:fldChar w:fldCharType="separate"/>
          </w:r>
          <w:r>
            <w:rPr>
              <w:rStyle w:val="43"/>
              <w:rFonts w:hint="eastAsia" w:ascii="仿宋_GB2312"/>
              <w:i w:val="0"/>
              <w:sz w:val="24"/>
              <w:szCs w:val="24"/>
              <w:highlight w:val="none"/>
            </w:rPr>
            <w:t>（二）打造产业运营基地，促进产业转型</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_Toc528843190 \h </w:instrText>
          </w:r>
          <w:r>
            <w:rPr>
              <w:rFonts w:hint="eastAsia" w:ascii="仿宋_GB2312"/>
              <w:i w:val="0"/>
              <w:sz w:val="24"/>
              <w:szCs w:val="24"/>
              <w:highlight w:val="none"/>
            </w:rPr>
            <w:fldChar w:fldCharType="separate"/>
          </w:r>
          <w:r>
            <w:rPr>
              <w:rFonts w:ascii="仿宋_GB2312"/>
              <w:i w:val="0"/>
              <w:sz w:val="24"/>
              <w:szCs w:val="24"/>
              <w:highlight w:val="none"/>
            </w:rPr>
            <w:t>19</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"_Toc528843191" </w:instrText>
          </w:r>
          <w:r>
            <w:rPr>
              <w:highlight w:val="none"/>
            </w:rPr>
            <w:fldChar w:fldCharType="separate"/>
          </w:r>
          <w:r>
            <w:rPr>
              <w:rStyle w:val="43"/>
              <w:rFonts w:hint="eastAsia" w:ascii="仿宋_GB2312" w:hAnsi="黑体"/>
              <w:sz w:val="24"/>
              <w:szCs w:val="24"/>
              <w:highlight w:val="none"/>
            </w:rPr>
            <w:t>2.1发展物流大数据，打造产业提速换挡新引擎</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_Toc528843191 \h </w:instrText>
          </w:r>
          <w:r>
            <w:rPr>
              <w:rFonts w:hint="eastAsia" w:ascii="仿宋_GB2312"/>
              <w:sz w:val="24"/>
              <w:szCs w:val="24"/>
              <w:highlight w:val="none"/>
            </w:rPr>
            <w:fldChar w:fldCharType="separate"/>
          </w:r>
          <w:r>
            <w:rPr>
              <w:rFonts w:ascii="仿宋_GB2312"/>
              <w:sz w:val="24"/>
              <w:szCs w:val="24"/>
              <w:highlight w:val="none"/>
            </w:rPr>
            <w:t>19</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"_Toc528843192" </w:instrText>
          </w:r>
          <w:r>
            <w:rPr>
              <w:highlight w:val="none"/>
            </w:rPr>
            <w:fldChar w:fldCharType="separate"/>
          </w:r>
          <w:r>
            <w:rPr>
              <w:rStyle w:val="43"/>
              <w:rFonts w:hint="eastAsia" w:ascii="仿宋_GB2312" w:hAnsi="黑体"/>
              <w:sz w:val="24"/>
              <w:szCs w:val="24"/>
              <w:highlight w:val="none"/>
            </w:rPr>
            <w:t>2.2发展电商大数据，打造服务经济社会新能力</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_Toc528843192 \h </w:instrText>
          </w:r>
          <w:r>
            <w:rPr>
              <w:rFonts w:hint="eastAsia" w:ascii="仿宋_GB2312"/>
              <w:sz w:val="24"/>
              <w:szCs w:val="24"/>
              <w:highlight w:val="none"/>
            </w:rPr>
            <w:fldChar w:fldCharType="separate"/>
          </w:r>
          <w:r>
            <w:rPr>
              <w:rFonts w:ascii="仿宋_GB2312"/>
              <w:sz w:val="24"/>
              <w:szCs w:val="24"/>
              <w:highlight w:val="none"/>
            </w:rPr>
            <w:t>23</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"_Toc528843193" </w:instrText>
          </w:r>
          <w:r>
            <w:rPr>
              <w:highlight w:val="none"/>
            </w:rPr>
            <w:fldChar w:fldCharType="separate"/>
          </w:r>
          <w:r>
            <w:rPr>
              <w:rStyle w:val="43"/>
              <w:rFonts w:hint="eastAsia" w:ascii="仿宋_GB2312" w:hAnsi="黑体"/>
              <w:sz w:val="24"/>
              <w:szCs w:val="24"/>
              <w:highlight w:val="none"/>
            </w:rPr>
            <w:t>2.3发展旅游大数据，打造旅游创新发展新基地</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_Toc528843193 \h </w:instrText>
          </w:r>
          <w:r>
            <w:rPr>
              <w:rFonts w:hint="eastAsia" w:ascii="仿宋_GB2312"/>
              <w:sz w:val="24"/>
              <w:szCs w:val="24"/>
              <w:highlight w:val="none"/>
            </w:rPr>
            <w:fldChar w:fldCharType="separate"/>
          </w:r>
          <w:r>
            <w:rPr>
              <w:rFonts w:ascii="仿宋_GB2312"/>
              <w:sz w:val="24"/>
              <w:szCs w:val="24"/>
              <w:highlight w:val="none"/>
            </w:rPr>
            <w:t>26</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"_Toc528843194" </w:instrText>
          </w:r>
          <w:r>
            <w:rPr>
              <w:highlight w:val="none"/>
            </w:rPr>
            <w:fldChar w:fldCharType="separate"/>
          </w:r>
          <w:r>
            <w:rPr>
              <w:rStyle w:val="43"/>
              <w:rFonts w:hint="eastAsia" w:ascii="仿宋_GB2312"/>
              <w:i w:val="0"/>
              <w:sz w:val="24"/>
              <w:szCs w:val="24"/>
              <w:highlight w:val="none"/>
            </w:rPr>
            <w:t>（三）建设数据资源中心，汇聚数据资源</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_Toc528843194 \h </w:instrText>
          </w:r>
          <w:r>
            <w:rPr>
              <w:rFonts w:hint="eastAsia" w:ascii="仿宋_GB2312"/>
              <w:i w:val="0"/>
              <w:sz w:val="24"/>
              <w:szCs w:val="24"/>
              <w:highlight w:val="none"/>
            </w:rPr>
            <w:fldChar w:fldCharType="separate"/>
          </w:r>
          <w:r>
            <w:rPr>
              <w:rFonts w:ascii="仿宋_GB2312"/>
              <w:i w:val="0"/>
              <w:sz w:val="24"/>
              <w:szCs w:val="24"/>
              <w:highlight w:val="none"/>
            </w:rPr>
            <w:t>30</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"_Toc528843195" </w:instrText>
          </w:r>
          <w:r>
            <w:rPr>
              <w:highlight w:val="none"/>
            </w:rPr>
            <w:fldChar w:fldCharType="separate"/>
          </w:r>
          <w:r>
            <w:rPr>
              <w:rStyle w:val="43"/>
              <w:rFonts w:hint="eastAsia" w:ascii="仿宋_GB2312" w:hAnsi="黑体"/>
              <w:sz w:val="24"/>
              <w:szCs w:val="24"/>
              <w:highlight w:val="none"/>
            </w:rPr>
            <w:t>3.1 建设采集中心，实现数据资源价值变现</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_Toc528843195 \h </w:instrText>
          </w:r>
          <w:r>
            <w:rPr>
              <w:rFonts w:hint="eastAsia" w:ascii="仿宋_GB2312"/>
              <w:sz w:val="24"/>
              <w:szCs w:val="24"/>
              <w:highlight w:val="none"/>
            </w:rPr>
            <w:fldChar w:fldCharType="separate"/>
          </w:r>
          <w:r>
            <w:rPr>
              <w:rFonts w:ascii="仿宋_GB2312"/>
              <w:sz w:val="24"/>
              <w:szCs w:val="24"/>
              <w:highlight w:val="none"/>
            </w:rPr>
            <w:t>30</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"_Toc528843196" </w:instrText>
          </w:r>
          <w:r>
            <w:rPr>
              <w:highlight w:val="none"/>
            </w:rPr>
            <w:fldChar w:fldCharType="separate"/>
          </w:r>
          <w:r>
            <w:rPr>
              <w:rStyle w:val="43"/>
              <w:rFonts w:hint="eastAsia" w:ascii="仿宋_GB2312" w:hAnsi="黑体"/>
              <w:sz w:val="24"/>
              <w:szCs w:val="24"/>
              <w:highlight w:val="none"/>
            </w:rPr>
            <w:t>3.2 建设云数据中心，促进数据资源大汇聚</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_Toc528843196 \h </w:instrText>
          </w:r>
          <w:r>
            <w:rPr>
              <w:rFonts w:hint="eastAsia" w:ascii="仿宋_GB2312"/>
              <w:sz w:val="24"/>
              <w:szCs w:val="24"/>
              <w:highlight w:val="none"/>
            </w:rPr>
            <w:fldChar w:fldCharType="separate"/>
          </w:r>
          <w:r>
            <w:rPr>
              <w:rFonts w:ascii="仿宋_GB2312"/>
              <w:sz w:val="24"/>
              <w:szCs w:val="24"/>
              <w:highlight w:val="none"/>
            </w:rPr>
            <w:t>33</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"_Toc528843197" </w:instrText>
          </w:r>
          <w:r>
            <w:rPr>
              <w:highlight w:val="none"/>
            </w:rPr>
            <w:fldChar w:fldCharType="separate"/>
          </w:r>
          <w:r>
            <w:rPr>
              <w:rStyle w:val="43"/>
              <w:rFonts w:hint="eastAsia" w:ascii="仿宋_GB2312" w:hAnsi="黑体"/>
              <w:sz w:val="24"/>
              <w:szCs w:val="24"/>
              <w:highlight w:val="none"/>
            </w:rPr>
            <w:t>3.3 建设呼叫中心，实现大数据应用闭环</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_Toc528843197 \h </w:instrText>
          </w:r>
          <w:r>
            <w:rPr>
              <w:rFonts w:hint="eastAsia" w:ascii="仿宋_GB2312"/>
              <w:sz w:val="24"/>
              <w:szCs w:val="24"/>
              <w:highlight w:val="none"/>
            </w:rPr>
            <w:fldChar w:fldCharType="separate"/>
          </w:r>
          <w:r>
            <w:rPr>
              <w:rFonts w:ascii="仿宋_GB2312"/>
              <w:sz w:val="24"/>
              <w:szCs w:val="24"/>
              <w:highlight w:val="none"/>
            </w:rPr>
            <w:t>35</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"_Toc528843198" </w:instrText>
          </w:r>
          <w:r>
            <w:rPr>
              <w:highlight w:val="none"/>
            </w:rPr>
            <w:fldChar w:fldCharType="separate"/>
          </w:r>
          <w:r>
            <w:rPr>
              <w:rStyle w:val="43"/>
              <w:rFonts w:hint="eastAsia" w:ascii="仿宋_GB2312"/>
              <w:i w:val="0"/>
              <w:sz w:val="24"/>
              <w:szCs w:val="24"/>
              <w:highlight w:val="none"/>
            </w:rPr>
            <w:t>（四）打造产业创新基地，推进动能转换</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_Toc528843198 \h </w:instrText>
          </w:r>
          <w:r>
            <w:rPr>
              <w:rFonts w:hint="eastAsia" w:ascii="仿宋_GB2312"/>
              <w:i w:val="0"/>
              <w:sz w:val="24"/>
              <w:szCs w:val="24"/>
              <w:highlight w:val="none"/>
            </w:rPr>
            <w:fldChar w:fldCharType="separate"/>
          </w:r>
          <w:r>
            <w:rPr>
              <w:rFonts w:ascii="仿宋_GB2312"/>
              <w:i w:val="0"/>
              <w:sz w:val="24"/>
              <w:szCs w:val="24"/>
              <w:highlight w:val="none"/>
            </w:rPr>
            <w:t>38</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"_Toc528843199" </w:instrText>
          </w:r>
          <w:r>
            <w:rPr>
              <w:highlight w:val="none"/>
            </w:rPr>
            <w:fldChar w:fldCharType="separate"/>
          </w:r>
          <w:r>
            <w:rPr>
              <w:rStyle w:val="43"/>
              <w:rFonts w:hint="eastAsia" w:ascii="仿宋_GB2312" w:hAnsi="黑体"/>
              <w:sz w:val="24"/>
              <w:szCs w:val="24"/>
              <w:highlight w:val="none"/>
            </w:rPr>
            <w:t>4.1 发展数娱产业，打造省内领先集聚地</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_Toc528843199 \h </w:instrText>
          </w:r>
          <w:r>
            <w:rPr>
              <w:rFonts w:hint="eastAsia" w:ascii="仿宋_GB2312"/>
              <w:sz w:val="24"/>
              <w:szCs w:val="24"/>
              <w:highlight w:val="none"/>
            </w:rPr>
            <w:fldChar w:fldCharType="separate"/>
          </w:r>
          <w:r>
            <w:rPr>
              <w:rFonts w:ascii="仿宋_GB2312"/>
              <w:sz w:val="24"/>
              <w:szCs w:val="24"/>
              <w:highlight w:val="none"/>
            </w:rPr>
            <w:t>38</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"_Toc528843200" </w:instrText>
          </w:r>
          <w:r>
            <w:rPr>
              <w:highlight w:val="none"/>
            </w:rPr>
            <w:fldChar w:fldCharType="separate"/>
          </w:r>
          <w:r>
            <w:rPr>
              <w:rStyle w:val="43"/>
              <w:rFonts w:hint="eastAsia" w:ascii="仿宋_GB2312" w:hAnsi="黑体"/>
              <w:sz w:val="24"/>
              <w:szCs w:val="24"/>
              <w:highlight w:val="none"/>
            </w:rPr>
            <w:t>4.2发展工业互联网，提升工业智能化水平</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_Toc528843200 \h </w:instrText>
          </w:r>
          <w:r>
            <w:rPr>
              <w:rFonts w:hint="eastAsia" w:ascii="仿宋_GB2312"/>
              <w:sz w:val="24"/>
              <w:szCs w:val="24"/>
              <w:highlight w:val="none"/>
            </w:rPr>
            <w:fldChar w:fldCharType="separate"/>
          </w:r>
          <w:r>
            <w:rPr>
              <w:rFonts w:ascii="仿宋_GB2312"/>
              <w:sz w:val="24"/>
              <w:szCs w:val="24"/>
              <w:highlight w:val="none"/>
            </w:rPr>
            <w:t>42</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"_Toc528843201" </w:instrText>
          </w:r>
          <w:r>
            <w:rPr>
              <w:highlight w:val="none"/>
            </w:rPr>
            <w:fldChar w:fldCharType="separate"/>
          </w:r>
          <w:r>
            <w:rPr>
              <w:rStyle w:val="43"/>
              <w:rFonts w:hint="eastAsia" w:ascii="仿宋_GB2312"/>
              <w:i w:val="0"/>
              <w:sz w:val="24"/>
              <w:szCs w:val="24"/>
              <w:highlight w:val="none"/>
            </w:rPr>
            <w:t>（五）打造应用研发基地，实现智能发展</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_Toc528843201 \h </w:instrText>
          </w:r>
          <w:r>
            <w:rPr>
              <w:rFonts w:hint="eastAsia" w:ascii="仿宋_GB2312"/>
              <w:i w:val="0"/>
              <w:sz w:val="24"/>
              <w:szCs w:val="24"/>
              <w:highlight w:val="none"/>
            </w:rPr>
            <w:fldChar w:fldCharType="separate"/>
          </w:r>
          <w:r>
            <w:rPr>
              <w:rFonts w:ascii="仿宋_GB2312"/>
              <w:i w:val="0"/>
              <w:sz w:val="24"/>
              <w:szCs w:val="24"/>
              <w:highlight w:val="none"/>
            </w:rPr>
            <w:t>46</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"_Toc528843202" </w:instrText>
          </w:r>
          <w:r>
            <w:rPr>
              <w:highlight w:val="none"/>
            </w:rPr>
            <w:fldChar w:fldCharType="separate"/>
          </w:r>
          <w:r>
            <w:rPr>
              <w:rStyle w:val="43"/>
              <w:rFonts w:hint="eastAsia" w:ascii="仿宋_GB2312" w:hAnsi="黑体"/>
              <w:sz w:val="24"/>
              <w:szCs w:val="24"/>
              <w:highlight w:val="none"/>
            </w:rPr>
            <w:t>5.1发展人工智能，培育未来产业助力动能转换</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_Toc528843202 \h </w:instrText>
          </w:r>
          <w:r>
            <w:rPr>
              <w:rFonts w:hint="eastAsia" w:ascii="仿宋_GB2312"/>
              <w:sz w:val="24"/>
              <w:szCs w:val="24"/>
              <w:highlight w:val="none"/>
            </w:rPr>
            <w:fldChar w:fldCharType="separate"/>
          </w:r>
          <w:r>
            <w:rPr>
              <w:rFonts w:ascii="仿宋_GB2312"/>
              <w:sz w:val="24"/>
              <w:szCs w:val="24"/>
              <w:highlight w:val="none"/>
            </w:rPr>
            <w:t>47</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"_Toc528843203" </w:instrText>
          </w:r>
          <w:r>
            <w:rPr>
              <w:highlight w:val="none"/>
            </w:rPr>
            <w:fldChar w:fldCharType="separate"/>
          </w:r>
          <w:r>
            <w:rPr>
              <w:rStyle w:val="43"/>
              <w:rFonts w:hint="eastAsia" w:ascii="仿宋_GB2312" w:hAnsi="黑体"/>
              <w:sz w:val="24"/>
              <w:szCs w:val="24"/>
              <w:highlight w:val="none"/>
            </w:rPr>
            <w:t>5.2发展区块链，打造区块链创新应用示范高地</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_Toc528843203 \h </w:instrText>
          </w:r>
          <w:r>
            <w:rPr>
              <w:rFonts w:hint="eastAsia" w:ascii="仿宋_GB2312"/>
              <w:sz w:val="24"/>
              <w:szCs w:val="24"/>
              <w:highlight w:val="none"/>
            </w:rPr>
            <w:fldChar w:fldCharType="separate"/>
          </w:r>
          <w:r>
            <w:rPr>
              <w:rFonts w:ascii="仿宋_GB2312"/>
              <w:sz w:val="24"/>
              <w:szCs w:val="24"/>
              <w:highlight w:val="none"/>
            </w:rPr>
            <w:t>50</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30"/>
            <w:rPr>
              <w:rFonts w:ascii="仿宋_GB2312" w:hAnsiTheme="minorHAnsi" w:cstheme="minorBidi"/>
              <w:smallCaps w:val="0"/>
              <w:sz w:val="24"/>
              <w:szCs w:val="24"/>
              <w:highlight w:val="none"/>
            </w:rPr>
          </w:pPr>
          <w:r>
            <w:rPr>
              <w:highlight w:val="none"/>
            </w:rPr>
            <w:fldChar w:fldCharType="begin"/>
          </w:r>
          <w:r>
            <w:rPr>
              <w:highlight w:val="none"/>
            </w:rPr>
            <w:instrText xml:space="preserve"> HYPERLINK \l "_Toc528843204" </w:instrText>
          </w:r>
          <w:r>
            <w:rPr>
              <w:highlight w:val="none"/>
            </w:rPr>
            <w:fldChar w:fldCharType="separate"/>
          </w:r>
          <w:r>
            <w:rPr>
              <w:rStyle w:val="43"/>
              <w:rFonts w:hint="eastAsia" w:ascii="仿宋_GB2312"/>
              <w:sz w:val="24"/>
              <w:szCs w:val="24"/>
              <w:highlight w:val="none"/>
            </w:rPr>
            <w:t>四、运营体系建设任务</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_Toc528843204 \h </w:instrText>
          </w:r>
          <w:r>
            <w:rPr>
              <w:rFonts w:hint="eastAsia" w:ascii="仿宋_GB2312"/>
              <w:sz w:val="24"/>
              <w:szCs w:val="24"/>
              <w:highlight w:val="none"/>
            </w:rPr>
            <w:fldChar w:fldCharType="separate"/>
          </w:r>
          <w:r>
            <w:rPr>
              <w:rFonts w:ascii="仿宋_GB2312"/>
              <w:sz w:val="24"/>
              <w:szCs w:val="24"/>
              <w:highlight w:val="none"/>
            </w:rPr>
            <w:t>54</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"_Toc528843205" </w:instrText>
          </w:r>
          <w:r>
            <w:rPr>
              <w:highlight w:val="none"/>
            </w:rPr>
            <w:fldChar w:fldCharType="separate"/>
          </w:r>
          <w:r>
            <w:rPr>
              <w:rStyle w:val="43"/>
              <w:rFonts w:hint="eastAsia" w:ascii="仿宋_GB2312"/>
              <w:i w:val="0"/>
              <w:sz w:val="24"/>
              <w:szCs w:val="24"/>
              <w:highlight w:val="none"/>
            </w:rPr>
            <w:t>（一）运营服务体系框架</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_Toc528843205 \h </w:instrText>
          </w:r>
          <w:r>
            <w:rPr>
              <w:rFonts w:hint="eastAsia" w:ascii="仿宋_GB2312"/>
              <w:i w:val="0"/>
              <w:sz w:val="24"/>
              <w:szCs w:val="24"/>
              <w:highlight w:val="none"/>
            </w:rPr>
            <w:fldChar w:fldCharType="separate"/>
          </w:r>
          <w:r>
            <w:rPr>
              <w:rFonts w:ascii="仿宋_GB2312"/>
              <w:i w:val="0"/>
              <w:sz w:val="24"/>
              <w:szCs w:val="24"/>
              <w:highlight w:val="none"/>
            </w:rPr>
            <w:t>54</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"_Toc528843206" </w:instrText>
          </w:r>
          <w:r>
            <w:rPr>
              <w:highlight w:val="none"/>
            </w:rPr>
            <w:fldChar w:fldCharType="separate"/>
          </w:r>
          <w:r>
            <w:rPr>
              <w:rStyle w:val="43"/>
              <w:rFonts w:hint="eastAsia" w:ascii="仿宋_GB2312"/>
              <w:i w:val="0"/>
              <w:sz w:val="24"/>
              <w:szCs w:val="24"/>
              <w:highlight w:val="none"/>
            </w:rPr>
            <w:t>（二）产业支撑平台</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_Toc528843206 \h </w:instrText>
          </w:r>
          <w:r>
            <w:rPr>
              <w:rFonts w:hint="eastAsia" w:ascii="仿宋_GB2312"/>
              <w:i w:val="0"/>
              <w:sz w:val="24"/>
              <w:szCs w:val="24"/>
              <w:highlight w:val="none"/>
            </w:rPr>
            <w:fldChar w:fldCharType="separate"/>
          </w:r>
          <w:r>
            <w:rPr>
              <w:rFonts w:ascii="仿宋_GB2312"/>
              <w:i w:val="0"/>
              <w:sz w:val="24"/>
              <w:szCs w:val="24"/>
              <w:highlight w:val="none"/>
            </w:rPr>
            <w:t>55</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"_Toc528843207" </w:instrText>
          </w:r>
          <w:r>
            <w:rPr>
              <w:highlight w:val="none"/>
            </w:rPr>
            <w:fldChar w:fldCharType="separate"/>
          </w:r>
          <w:r>
            <w:rPr>
              <w:rStyle w:val="43"/>
              <w:rFonts w:hint="eastAsia" w:ascii="仿宋_GB2312" w:hAnsi="黑体"/>
              <w:sz w:val="24"/>
              <w:szCs w:val="24"/>
              <w:highlight w:val="none"/>
            </w:rPr>
            <w:t>1．打造创新平台，加强产业孵化</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_Toc528843207 \h </w:instrText>
          </w:r>
          <w:r>
            <w:rPr>
              <w:rFonts w:hint="eastAsia" w:ascii="仿宋_GB2312"/>
              <w:sz w:val="24"/>
              <w:szCs w:val="24"/>
              <w:highlight w:val="none"/>
            </w:rPr>
            <w:fldChar w:fldCharType="separate"/>
          </w:r>
          <w:r>
            <w:rPr>
              <w:rFonts w:ascii="仿宋_GB2312"/>
              <w:sz w:val="24"/>
              <w:szCs w:val="24"/>
              <w:highlight w:val="none"/>
            </w:rPr>
            <w:t>55</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"_Toc528843208" </w:instrText>
          </w:r>
          <w:r>
            <w:rPr>
              <w:highlight w:val="none"/>
            </w:rPr>
            <w:fldChar w:fldCharType="separate"/>
          </w:r>
          <w:r>
            <w:rPr>
              <w:rStyle w:val="43"/>
              <w:rFonts w:hint="eastAsia" w:ascii="仿宋_GB2312" w:hAnsi="黑体"/>
              <w:sz w:val="24"/>
              <w:szCs w:val="24"/>
              <w:highlight w:val="none"/>
            </w:rPr>
            <w:t>2．打造金融平台，助力产业发展</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_Toc528843208 \h </w:instrText>
          </w:r>
          <w:r>
            <w:rPr>
              <w:rFonts w:hint="eastAsia" w:ascii="仿宋_GB2312"/>
              <w:sz w:val="24"/>
              <w:szCs w:val="24"/>
              <w:highlight w:val="none"/>
            </w:rPr>
            <w:fldChar w:fldCharType="separate"/>
          </w:r>
          <w:r>
            <w:rPr>
              <w:rFonts w:ascii="仿宋_GB2312"/>
              <w:sz w:val="24"/>
              <w:szCs w:val="24"/>
              <w:highlight w:val="none"/>
            </w:rPr>
            <w:t>57</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"_Toc528843209" </w:instrText>
          </w:r>
          <w:r>
            <w:rPr>
              <w:highlight w:val="none"/>
            </w:rPr>
            <w:fldChar w:fldCharType="separate"/>
          </w:r>
          <w:r>
            <w:rPr>
              <w:rStyle w:val="43"/>
              <w:rFonts w:hint="eastAsia" w:ascii="仿宋_GB2312" w:hAnsi="黑体"/>
              <w:sz w:val="24"/>
              <w:szCs w:val="24"/>
              <w:highlight w:val="none"/>
            </w:rPr>
            <w:t>3．打造人才平台，汇聚产业智力</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_Toc528843209 \h </w:instrText>
          </w:r>
          <w:r>
            <w:rPr>
              <w:rFonts w:hint="eastAsia" w:ascii="仿宋_GB2312"/>
              <w:sz w:val="24"/>
              <w:szCs w:val="24"/>
              <w:highlight w:val="none"/>
            </w:rPr>
            <w:fldChar w:fldCharType="separate"/>
          </w:r>
          <w:r>
            <w:rPr>
              <w:rFonts w:ascii="仿宋_GB2312"/>
              <w:sz w:val="24"/>
              <w:szCs w:val="24"/>
              <w:highlight w:val="none"/>
            </w:rPr>
            <w:t>58</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"_Toc528843210" </w:instrText>
          </w:r>
          <w:r>
            <w:rPr>
              <w:highlight w:val="none"/>
            </w:rPr>
            <w:fldChar w:fldCharType="separate"/>
          </w:r>
          <w:r>
            <w:rPr>
              <w:rStyle w:val="43"/>
              <w:rFonts w:hint="eastAsia" w:ascii="仿宋_GB2312" w:hAnsi="黑体"/>
              <w:sz w:val="24"/>
              <w:szCs w:val="24"/>
              <w:highlight w:val="none"/>
            </w:rPr>
            <w:t>4．打造公共服务平台，提升产业服务能力</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_Toc528843210 \h </w:instrText>
          </w:r>
          <w:r>
            <w:rPr>
              <w:rFonts w:hint="eastAsia" w:ascii="仿宋_GB2312"/>
              <w:sz w:val="24"/>
              <w:szCs w:val="24"/>
              <w:highlight w:val="none"/>
            </w:rPr>
            <w:fldChar w:fldCharType="separate"/>
          </w:r>
          <w:r>
            <w:rPr>
              <w:rFonts w:ascii="仿宋_GB2312"/>
              <w:sz w:val="24"/>
              <w:szCs w:val="24"/>
              <w:highlight w:val="none"/>
            </w:rPr>
            <w:t>60</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"_Toc528843211" </w:instrText>
          </w:r>
          <w:r>
            <w:rPr>
              <w:highlight w:val="none"/>
            </w:rPr>
            <w:fldChar w:fldCharType="separate"/>
          </w:r>
          <w:r>
            <w:rPr>
              <w:rStyle w:val="43"/>
              <w:rFonts w:hint="eastAsia" w:ascii="仿宋_GB2312"/>
              <w:i w:val="0"/>
              <w:sz w:val="24"/>
              <w:szCs w:val="24"/>
              <w:highlight w:val="none"/>
            </w:rPr>
            <w:t>（三）智慧小镇生活配套</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_Toc528843211 \h </w:instrText>
          </w:r>
          <w:r>
            <w:rPr>
              <w:rFonts w:hint="eastAsia" w:ascii="仿宋_GB2312"/>
              <w:i w:val="0"/>
              <w:sz w:val="24"/>
              <w:szCs w:val="24"/>
              <w:highlight w:val="none"/>
            </w:rPr>
            <w:fldChar w:fldCharType="separate"/>
          </w:r>
          <w:r>
            <w:rPr>
              <w:rFonts w:ascii="仿宋_GB2312"/>
              <w:i w:val="0"/>
              <w:sz w:val="24"/>
              <w:szCs w:val="24"/>
              <w:highlight w:val="none"/>
            </w:rPr>
            <w:t>62</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"_Toc528843212" </w:instrText>
          </w:r>
          <w:r>
            <w:rPr>
              <w:highlight w:val="none"/>
            </w:rPr>
            <w:fldChar w:fldCharType="separate"/>
          </w:r>
          <w:r>
            <w:rPr>
              <w:rStyle w:val="43"/>
              <w:rFonts w:hint="eastAsia" w:ascii="仿宋_GB2312" w:hAnsi="黑体"/>
              <w:sz w:val="24"/>
              <w:szCs w:val="24"/>
              <w:highlight w:val="none"/>
            </w:rPr>
            <w:t>1．居住中心</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_Toc528843212 \h </w:instrText>
          </w:r>
          <w:r>
            <w:rPr>
              <w:rFonts w:hint="eastAsia" w:ascii="仿宋_GB2312"/>
              <w:sz w:val="24"/>
              <w:szCs w:val="24"/>
              <w:highlight w:val="none"/>
            </w:rPr>
            <w:fldChar w:fldCharType="separate"/>
          </w:r>
          <w:r>
            <w:rPr>
              <w:rFonts w:ascii="仿宋_GB2312"/>
              <w:sz w:val="24"/>
              <w:szCs w:val="24"/>
              <w:highlight w:val="none"/>
            </w:rPr>
            <w:t>62</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"_Toc528843213" </w:instrText>
          </w:r>
          <w:r>
            <w:rPr>
              <w:highlight w:val="none"/>
            </w:rPr>
            <w:fldChar w:fldCharType="separate"/>
          </w:r>
          <w:r>
            <w:rPr>
              <w:rStyle w:val="43"/>
              <w:rFonts w:hint="eastAsia" w:ascii="仿宋_GB2312" w:hAnsi="黑体"/>
              <w:sz w:val="24"/>
              <w:szCs w:val="24"/>
              <w:highlight w:val="none"/>
            </w:rPr>
            <w:t>2．商业中心</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_Toc528843213 \h </w:instrText>
          </w:r>
          <w:r>
            <w:rPr>
              <w:rFonts w:hint="eastAsia" w:ascii="仿宋_GB2312"/>
              <w:sz w:val="24"/>
              <w:szCs w:val="24"/>
              <w:highlight w:val="none"/>
            </w:rPr>
            <w:fldChar w:fldCharType="separate"/>
          </w:r>
          <w:r>
            <w:rPr>
              <w:rFonts w:ascii="仿宋_GB2312"/>
              <w:sz w:val="24"/>
              <w:szCs w:val="24"/>
              <w:highlight w:val="none"/>
            </w:rPr>
            <w:t>63</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30"/>
            <w:rPr>
              <w:rFonts w:ascii="仿宋_GB2312" w:hAnsiTheme="minorHAnsi" w:cstheme="minorBidi"/>
              <w:smallCaps w:val="0"/>
              <w:sz w:val="24"/>
              <w:szCs w:val="24"/>
              <w:highlight w:val="none"/>
            </w:rPr>
          </w:pPr>
          <w:r>
            <w:rPr>
              <w:highlight w:val="none"/>
            </w:rPr>
            <w:fldChar w:fldCharType="begin"/>
          </w:r>
          <w:r>
            <w:rPr>
              <w:highlight w:val="none"/>
            </w:rPr>
            <w:instrText xml:space="preserve"> HYPERLINK \l "_Toc528843214" </w:instrText>
          </w:r>
          <w:r>
            <w:rPr>
              <w:highlight w:val="none"/>
            </w:rPr>
            <w:fldChar w:fldCharType="separate"/>
          </w:r>
          <w:r>
            <w:rPr>
              <w:rStyle w:val="43"/>
              <w:rFonts w:hint="eastAsia" w:ascii="仿宋_GB2312"/>
              <w:sz w:val="24"/>
              <w:szCs w:val="24"/>
              <w:highlight w:val="none"/>
            </w:rPr>
            <w:t>五、推进策略建议</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_Toc528843214 \h </w:instrText>
          </w:r>
          <w:r>
            <w:rPr>
              <w:rFonts w:hint="eastAsia" w:ascii="仿宋_GB2312"/>
              <w:sz w:val="24"/>
              <w:szCs w:val="24"/>
              <w:highlight w:val="none"/>
            </w:rPr>
            <w:fldChar w:fldCharType="separate"/>
          </w:r>
          <w:r>
            <w:rPr>
              <w:rFonts w:ascii="仿宋_GB2312"/>
              <w:sz w:val="24"/>
              <w:szCs w:val="24"/>
              <w:highlight w:val="none"/>
            </w:rPr>
            <w:t>65</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"_Toc528843215" </w:instrText>
          </w:r>
          <w:r>
            <w:rPr>
              <w:highlight w:val="none"/>
            </w:rPr>
            <w:fldChar w:fldCharType="separate"/>
          </w:r>
          <w:r>
            <w:rPr>
              <w:rStyle w:val="43"/>
              <w:rFonts w:hint="eastAsia" w:ascii="仿宋_GB2312"/>
              <w:i w:val="0"/>
              <w:sz w:val="24"/>
              <w:szCs w:val="24"/>
              <w:highlight w:val="none"/>
            </w:rPr>
            <w:t>（一）空间布局策略</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_Toc528843215 \h </w:instrText>
          </w:r>
          <w:r>
            <w:rPr>
              <w:rFonts w:hint="eastAsia" w:ascii="仿宋_GB2312"/>
              <w:i w:val="0"/>
              <w:sz w:val="24"/>
              <w:szCs w:val="24"/>
              <w:highlight w:val="none"/>
            </w:rPr>
            <w:fldChar w:fldCharType="separate"/>
          </w:r>
          <w:r>
            <w:rPr>
              <w:rFonts w:ascii="仿宋_GB2312"/>
              <w:i w:val="0"/>
              <w:sz w:val="24"/>
              <w:szCs w:val="24"/>
              <w:highlight w:val="none"/>
            </w:rPr>
            <w:t>65</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"_Toc528843216" </w:instrText>
          </w:r>
          <w:r>
            <w:rPr>
              <w:highlight w:val="none"/>
            </w:rPr>
            <w:fldChar w:fldCharType="separate"/>
          </w:r>
          <w:r>
            <w:rPr>
              <w:rStyle w:val="43"/>
              <w:rFonts w:hint="eastAsia" w:ascii="仿宋_GB2312"/>
              <w:i w:val="0"/>
              <w:sz w:val="24"/>
              <w:szCs w:val="24"/>
              <w:highlight w:val="none"/>
            </w:rPr>
            <w:t>（二）招商策略建议</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_Toc528843216 \h </w:instrText>
          </w:r>
          <w:r>
            <w:rPr>
              <w:rFonts w:hint="eastAsia" w:ascii="仿宋_GB2312"/>
              <w:i w:val="0"/>
              <w:sz w:val="24"/>
              <w:szCs w:val="24"/>
              <w:highlight w:val="none"/>
            </w:rPr>
            <w:fldChar w:fldCharType="separate"/>
          </w:r>
          <w:r>
            <w:rPr>
              <w:rFonts w:ascii="仿宋_GB2312"/>
              <w:i w:val="0"/>
              <w:sz w:val="24"/>
              <w:szCs w:val="24"/>
              <w:highlight w:val="none"/>
            </w:rPr>
            <w:t>67</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"_Toc528843217" </w:instrText>
          </w:r>
          <w:r>
            <w:rPr>
              <w:highlight w:val="none"/>
            </w:rPr>
            <w:fldChar w:fldCharType="separate"/>
          </w:r>
          <w:r>
            <w:rPr>
              <w:rStyle w:val="43"/>
              <w:rFonts w:hint="eastAsia" w:ascii="仿宋_GB2312" w:hAnsi="黑体"/>
              <w:sz w:val="24"/>
              <w:szCs w:val="24"/>
              <w:highlight w:val="none"/>
            </w:rPr>
            <w:t>1．特有资源招商</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_Toc528843217 \h </w:instrText>
          </w:r>
          <w:r>
            <w:rPr>
              <w:rFonts w:hint="eastAsia" w:ascii="仿宋_GB2312"/>
              <w:sz w:val="24"/>
              <w:szCs w:val="24"/>
              <w:highlight w:val="none"/>
            </w:rPr>
            <w:fldChar w:fldCharType="separate"/>
          </w:r>
          <w:r>
            <w:rPr>
              <w:rFonts w:ascii="仿宋_GB2312"/>
              <w:sz w:val="24"/>
              <w:szCs w:val="24"/>
              <w:highlight w:val="none"/>
            </w:rPr>
            <w:t>67</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"_Toc528843218" </w:instrText>
          </w:r>
          <w:r>
            <w:rPr>
              <w:highlight w:val="none"/>
            </w:rPr>
            <w:fldChar w:fldCharType="separate"/>
          </w:r>
          <w:r>
            <w:rPr>
              <w:rStyle w:val="43"/>
              <w:rFonts w:hint="eastAsia" w:ascii="仿宋_GB2312" w:hAnsi="黑体"/>
              <w:sz w:val="24"/>
              <w:szCs w:val="24"/>
              <w:highlight w:val="none"/>
            </w:rPr>
            <w:t>2．市场需求招商</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_Toc528843218 \h </w:instrText>
          </w:r>
          <w:r>
            <w:rPr>
              <w:rFonts w:hint="eastAsia" w:ascii="仿宋_GB2312"/>
              <w:sz w:val="24"/>
              <w:szCs w:val="24"/>
              <w:highlight w:val="none"/>
            </w:rPr>
            <w:fldChar w:fldCharType="separate"/>
          </w:r>
          <w:r>
            <w:rPr>
              <w:rFonts w:ascii="仿宋_GB2312"/>
              <w:sz w:val="24"/>
              <w:szCs w:val="24"/>
              <w:highlight w:val="none"/>
            </w:rPr>
            <w:t>68</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"_Toc528843219" </w:instrText>
          </w:r>
          <w:r>
            <w:rPr>
              <w:highlight w:val="none"/>
            </w:rPr>
            <w:fldChar w:fldCharType="separate"/>
          </w:r>
          <w:r>
            <w:rPr>
              <w:rStyle w:val="43"/>
              <w:rFonts w:hint="eastAsia" w:ascii="仿宋_GB2312" w:hAnsi="黑体"/>
              <w:sz w:val="24"/>
              <w:szCs w:val="24"/>
              <w:highlight w:val="none"/>
            </w:rPr>
            <w:t>3．产业链招商</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_Toc528843219 \h </w:instrText>
          </w:r>
          <w:r>
            <w:rPr>
              <w:rFonts w:hint="eastAsia" w:ascii="仿宋_GB2312"/>
              <w:sz w:val="24"/>
              <w:szCs w:val="24"/>
              <w:highlight w:val="none"/>
            </w:rPr>
            <w:fldChar w:fldCharType="separate"/>
          </w:r>
          <w:r>
            <w:rPr>
              <w:rFonts w:ascii="仿宋_GB2312"/>
              <w:sz w:val="24"/>
              <w:szCs w:val="24"/>
              <w:highlight w:val="none"/>
            </w:rPr>
            <w:t>69</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"_Toc528843220" </w:instrText>
          </w:r>
          <w:r>
            <w:rPr>
              <w:highlight w:val="none"/>
            </w:rPr>
            <w:fldChar w:fldCharType="separate"/>
          </w:r>
          <w:r>
            <w:rPr>
              <w:rStyle w:val="43"/>
              <w:rFonts w:hint="eastAsia" w:ascii="仿宋_GB2312"/>
              <w:i w:val="0"/>
              <w:sz w:val="24"/>
              <w:szCs w:val="24"/>
              <w:highlight w:val="none"/>
            </w:rPr>
            <w:t>（三）产业推进策略</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_Toc528843220 \h </w:instrText>
          </w:r>
          <w:r>
            <w:rPr>
              <w:rFonts w:hint="eastAsia" w:ascii="仿宋_GB2312"/>
              <w:i w:val="0"/>
              <w:sz w:val="24"/>
              <w:szCs w:val="24"/>
              <w:highlight w:val="none"/>
            </w:rPr>
            <w:fldChar w:fldCharType="separate"/>
          </w:r>
          <w:r>
            <w:rPr>
              <w:rFonts w:ascii="仿宋_GB2312"/>
              <w:i w:val="0"/>
              <w:sz w:val="24"/>
              <w:szCs w:val="24"/>
              <w:highlight w:val="none"/>
            </w:rPr>
            <w:t>69</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"_Toc528843221" </w:instrText>
          </w:r>
          <w:r>
            <w:rPr>
              <w:highlight w:val="none"/>
            </w:rPr>
            <w:fldChar w:fldCharType="separate"/>
          </w:r>
          <w:r>
            <w:rPr>
              <w:rStyle w:val="43"/>
              <w:rFonts w:hint="eastAsia" w:ascii="仿宋_GB2312" w:hAnsi="黑体"/>
              <w:sz w:val="24"/>
              <w:szCs w:val="24"/>
              <w:highlight w:val="none"/>
            </w:rPr>
            <w:t>1.重点板块推进计划</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_Toc528843221 \h </w:instrText>
          </w:r>
          <w:r>
            <w:rPr>
              <w:rFonts w:hint="eastAsia" w:ascii="仿宋_GB2312"/>
              <w:sz w:val="24"/>
              <w:szCs w:val="24"/>
              <w:highlight w:val="none"/>
            </w:rPr>
            <w:fldChar w:fldCharType="separate"/>
          </w:r>
          <w:r>
            <w:rPr>
              <w:rFonts w:ascii="仿宋_GB2312"/>
              <w:sz w:val="24"/>
              <w:szCs w:val="24"/>
              <w:highlight w:val="none"/>
            </w:rPr>
            <w:t>69</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"_Toc528843222" </w:instrText>
          </w:r>
          <w:r>
            <w:rPr>
              <w:highlight w:val="none"/>
            </w:rPr>
            <w:fldChar w:fldCharType="separate"/>
          </w:r>
          <w:r>
            <w:rPr>
              <w:rStyle w:val="43"/>
              <w:rFonts w:hint="eastAsia" w:ascii="仿宋_GB2312" w:hAnsi="黑体"/>
              <w:sz w:val="24"/>
              <w:szCs w:val="24"/>
              <w:highlight w:val="none"/>
            </w:rPr>
            <w:t>2.重点项目推进计划</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_Toc528843222 \h </w:instrText>
          </w:r>
          <w:r>
            <w:rPr>
              <w:rFonts w:hint="eastAsia" w:ascii="仿宋_GB2312"/>
              <w:sz w:val="24"/>
              <w:szCs w:val="24"/>
              <w:highlight w:val="none"/>
            </w:rPr>
            <w:fldChar w:fldCharType="separate"/>
          </w:r>
          <w:r>
            <w:rPr>
              <w:rFonts w:ascii="仿宋_GB2312"/>
              <w:sz w:val="24"/>
              <w:szCs w:val="24"/>
              <w:highlight w:val="none"/>
            </w:rPr>
            <w:t>75</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18"/>
            <w:tabs>
              <w:tab w:val="right" w:leader="dot" w:pos="8296"/>
            </w:tabs>
            <w:rPr>
              <w:rFonts w:ascii="仿宋_GB2312" w:hAnsiTheme="minorHAnsi" w:cstheme="minorBidi"/>
              <w:i w:val="0"/>
              <w:iCs w:val="0"/>
              <w:sz w:val="24"/>
              <w:szCs w:val="24"/>
              <w:highlight w:val="none"/>
            </w:rPr>
          </w:pPr>
          <w:r>
            <w:rPr>
              <w:highlight w:val="none"/>
            </w:rPr>
            <w:fldChar w:fldCharType="begin"/>
          </w:r>
          <w:r>
            <w:rPr>
              <w:highlight w:val="none"/>
            </w:rPr>
            <w:instrText xml:space="preserve"> HYPERLINK \l "_Toc528843223" </w:instrText>
          </w:r>
          <w:r>
            <w:rPr>
              <w:highlight w:val="none"/>
            </w:rPr>
            <w:fldChar w:fldCharType="separate"/>
          </w:r>
          <w:r>
            <w:rPr>
              <w:rStyle w:val="43"/>
              <w:rFonts w:hint="eastAsia" w:ascii="仿宋_GB2312"/>
              <w:i w:val="0"/>
              <w:sz w:val="24"/>
              <w:szCs w:val="24"/>
              <w:highlight w:val="none"/>
            </w:rPr>
            <w:t>（四）运营体系推进策略</w:t>
          </w:r>
          <w:r>
            <w:rPr>
              <w:rFonts w:hint="eastAsia" w:ascii="仿宋_GB2312"/>
              <w:i w:val="0"/>
              <w:sz w:val="24"/>
              <w:szCs w:val="24"/>
              <w:highlight w:val="none"/>
            </w:rPr>
            <w:tab/>
          </w:r>
          <w:r>
            <w:rPr>
              <w:rFonts w:hint="eastAsia" w:ascii="仿宋_GB2312"/>
              <w:i w:val="0"/>
              <w:sz w:val="24"/>
              <w:szCs w:val="24"/>
              <w:highlight w:val="none"/>
            </w:rPr>
            <w:fldChar w:fldCharType="begin"/>
          </w:r>
          <w:r>
            <w:rPr>
              <w:rFonts w:hint="eastAsia" w:ascii="仿宋_GB2312"/>
              <w:i w:val="0"/>
              <w:sz w:val="24"/>
              <w:szCs w:val="24"/>
              <w:highlight w:val="none"/>
            </w:rPr>
            <w:instrText xml:space="preserve"> PAGEREF _Toc528843223 \h </w:instrText>
          </w:r>
          <w:r>
            <w:rPr>
              <w:rFonts w:hint="eastAsia" w:ascii="仿宋_GB2312"/>
              <w:i w:val="0"/>
              <w:sz w:val="24"/>
              <w:szCs w:val="24"/>
              <w:highlight w:val="none"/>
            </w:rPr>
            <w:fldChar w:fldCharType="separate"/>
          </w:r>
          <w:r>
            <w:rPr>
              <w:rFonts w:ascii="仿宋_GB2312"/>
              <w:i w:val="0"/>
              <w:sz w:val="24"/>
              <w:szCs w:val="24"/>
              <w:highlight w:val="none"/>
            </w:rPr>
            <w:t>90</w:t>
          </w:r>
          <w:r>
            <w:rPr>
              <w:rFonts w:hint="eastAsia" w:ascii="仿宋_GB2312"/>
              <w:i w:val="0"/>
              <w:sz w:val="24"/>
              <w:szCs w:val="24"/>
              <w:highlight w:val="none"/>
            </w:rPr>
            <w:fldChar w:fldCharType="end"/>
          </w:r>
          <w:r>
            <w:rPr>
              <w:rFonts w:hint="eastAsia" w:ascii="仿宋_GB2312"/>
              <w:i w:val="0"/>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"_Toc528843224" </w:instrText>
          </w:r>
          <w:r>
            <w:rPr>
              <w:highlight w:val="none"/>
            </w:rPr>
            <w:fldChar w:fldCharType="separate"/>
          </w:r>
          <w:r>
            <w:rPr>
              <w:rStyle w:val="43"/>
              <w:rFonts w:hint="eastAsia" w:ascii="仿宋_GB2312" w:hAnsi="黑体"/>
              <w:sz w:val="24"/>
              <w:szCs w:val="24"/>
              <w:highlight w:val="none"/>
            </w:rPr>
            <w:t>1．2018-2020年筑基期推进计划</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_Toc528843224 \h </w:instrText>
          </w:r>
          <w:r>
            <w:rPr>
              <w:rFonts w:hint="eastAsia" w:ascii="仿宋_GB2312"/>
              <w:sz w:val="24"/>
              <w:szCs w:val="24"/>
              <w:highlight w:val="none"/>
            </w:rPr>
            <w:fldChar w:fldCharType="separate"/>
          </w:r>
          <w:r>
            <w:rPr>
              <w:rFonts w:ascii="仿宋_GB2312"/>
              <w:sz w:val="24"/>
              <w:szCs w:val="24"/>
              <w:highlight w:val="none"/>
            </w:rPr>
            <w:t>90</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"_Toc528843225" </w:instrText>
          </w:r>
          <w:r>
            <w:rPr>
              <w:highlight w:val="none"/>
            </w:rPr>
            <w:fldChar w:fldCharType="separate"/>
          </w:r>
          <w:r>
            <w:rPr>
              <w:rStyle w:val="43"/>
              <w:rFonts w:hint="eastAsia" w:ascii="仿宋_GB2312" w:hAnsi="黑体"/>
              <w:sz w:val="24"/>
              <w:szCs w:val="24"/>
              <w:highlight w:val="none"/>
            </w:rPr>
            <w:t>2．2021-2025年集聚期推进计划</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_Toc528843225 \h </w:instrText>
          </w:r>
          <w:r>
            <w:rPr>
              <w:rFonts w:hint="eastAsia" w:ascii="仿宋_GB2312"/>
              <w:sz w:val="24"/>
              <w:szCs w:val="24"/>
              <w:highlight w:val="none"/>
            </w:rPr>
            <w:fldChar w:fldCharType="separate"/>
          </w:r>
          <w:r>
            <w:rPr>
              <w:rFonts w:ascii="仿宋_GB2312"/>
              <w:sz w:val="24"/>
              <w:szCs w:val="24"/>
              <w:highlight w:val="none"/>
            </w:rPr>
            <w:t>93</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26"/>
            <w:rPr>
              <w:rFonts w:ascii="仿宋_GB2312" w:hAnsiTheme="minorHAnsi" w:cstheme="minorBidi"/>
              <w:sz w:val="24"/>
              <w:szCs w:val="24"/>
              <w:highlight w:val="none"/>
            </w:rPr>
          </w:pPr>
          <w:r>
            <w:rPr>
              <w:highlight w:val="none"/>
            </w:rPr>
            <w:fldChar w:fldCharType="begin"/>
          </w:r>
          <w:r>
            <w:rPr>
              <w:highlight w:val="none"/>
            </w:rPr>
            <w:instrText xml:space="preserve"> HYPERLINK \l "_Toc528843226" </w:instrText>
          </w:r>
          <w:r>
            <w:rPr>
              <w:highlight w:val="none"/>
            </w:rPr>
            <w:fldChar w:fldCharType="separate"/>
          </w:r>
          <w:r>
            <w:rPr>
              <w:rStyle w:val="43"/>
              <w:rFonts w:hint="eastAsia" w:ascii="仿宋_GB2312" w:hAnsi="黑体"/>
              <w:sz w:val="24"/>
              <w:szCs w:val="24"/>
              <w:highlight w:val="none"/>
            </w:rPr>
            <w:t>3．2026-2030年飞跃期推进计划</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_Toc528843226 \h </w:instrText>
          </w:r>
          <w:r>
            <w:rPr>
              <w:rFonts w:hint="eastAsia" w:ascii="仿宋_GB2312"/>
              <w:sz w:val="24"/>
              <w:szCs w:val="24"/>
              <w:highlight w:val="none"/>
            </w:rPr>
            <w:fldChar w:fldCharType="separate"/>
          </w:r>
          <w:r>
            <w:rPr>
              <w:rFonts w:ascii="仿宋_GB2312"/>
              <w:sz w:val="24"/>
              <w:szCs w:val="24"/>
              <w:highlight w:val="none"/>
            </w:rPr>
            <w:t>94</w:t>
          </w:r>
          <w:r>
            <w:rPr>
              <w:rFonts w:hint="eastAsia" w:ascii="仿宋_GB2312"/>
              <w:sz w:val="24"/>
              <w:szCs w:val="24"/>
              <w:highlight w:val="none"/>
            </w:rPr>
            <w:fldChar w:fldCharType="end"/>
          </w:r>
          <w:r>
            <w:rPr>
              <w:rFonts w:hint="eastAsia" w:ascii="仿宋_GB2312"/>
              <w:sz w:val="24"/>
              <w:szCs w:val="24"/>
              <w:highlight w:val="none"/>
            </w:rPr>
            <w:fldChar w:fldCharType="end"/>
          </w:r>
        </w:p>
        <w:p>
          <w:pPr>
            <w:pStyle w:val="30"/>
            <w:rPr>
              <w:rFonts w:ascii="仿宋_GB2312" w:hAnsiTheme="minorHAnsi" w:cstheme="minorBidi"/>
              <w:smallCaps w:val="0"/>
              <w:sz w:val="24"/>
              <w:szCs w:val="24"/>
              <w:highlight w:val="none"/>
            </w:rPr>
          </w:pPr>
          <w:r>
            <w:rPr>
              <w:highlight w:val="none"/>
            </w:rPr>
            <w:fldChar w:fldCharType="begin"/>
          </w:r>
          <w:r>
            <w:rPr>
              <w:highlight w:val="none"/>
            </w:rPr>
            <w:instrText xml:space="preserve"> HYPERLINK \l "_Toc528843227" </w:instrText>
          </w:r>
          <w:r>
            <w:rPr>
              <w:highlight w:val="none"/>
            </w:rPr>
            <w:fldChar w:fldCharType="separate"/>
          </w:r>
          <w:r>
            <w:rPr>
              <w:rStyle w:val="43"/>
              <w:rFonts w:hint="eastAsia" w:ascii="仿宋_GB2312"/>
              <w:sz w:val="24"/>
              <w:szCs w:val="24"/>
              <w:highlight w:val="none"/>
            </w:rPr>
            <w:t>附表、重点推荐企业名录</w:t>
          </w:r>
          <w:r>
            <w:rPr>
              <w:rFonts w:hint="eastAsia" w:ascii="仿宋_GB2312"/>
              <w:sz w:val="24"/>
              <w:szCs w:val="24"/>
              <w:highlight w:val="none"/>
            </w:rPr>
            <w:tab/>
          </w:r>
          <w:r>
            <w:rPr>
              <w:rFonts w:hint="eastAsia" w:ascii="仿宋_GB2312"/>
              <w:sz w:val="24"/>
              <w:szCs w:val="24"/>
              <w:highlight w:val="none"/>
            </w:rPr>
            <w:fldChar w:fldCharType="begin"/>
          </w:r>
          <w:r>
            <w:rPr>
              <w:rFonts w:hint="eastAsia" w:ascii="仿宋_GB2312"/>
              <w:sz w:val="24"/>
              <w:szCs w:val="24"/>
              <w:highlight w:val="none"/>
            </w:rPr>
            <w:instrText xml:space="preserve"> PAGEREF _Toc528843227 \h </w:instrText>
          </w:r>
          <w:r>
            <w:rPr>
              <w:rFonts w:hint="eastAsia" w:ascii="仿宋_GB2312"/>
              <w:sz w:val="24"/>
              <w:szCs w:val="24"/>
              <w:highlight w:val="none"/>
            </w:rPr>
            <w:fldChar w:fldCharType="separate"/>
          </w:r>
          <w:r>
            <w:rPr>
              <w:rFonts w:ascii="仿宋_GB2312"/>
              <w:sz w:val="24"/>
              <w:szCs w:val="24"/>
              <w:highlight w:val="none"/>
            </w:rPr>
            <w:t>95</w:t>
          </w:r>
          <w:r>
            <w:rPr>
              <w:rFonts w:hint="eastAsia" w:ascii="仿宋_GB2312"/>
              <w:sz w:val="24"/>
              <w:szCs w:val="24"/>
              <w:highlight w:val="none"/>
            </w:rPr>
            <w:fldChar w:fldCharType="end"/>
          </w:r>
          <w:r>
            <w:rPr>
              <w:rFonts w:hint="eastAsia" w:ascii="仿宋_GB2312"/>
              <w:sz w:val="24"/>
              <w:szCs w:val="24"/>
              <w:highlight w:val="none"/>
            </w:rPr>
            <w:fldChar w:fldCharType="end"/>
          </w:r>
        </w:p>
        <w:p>
          <w:pPr>
            <w:rPr>
              <w:highlight w:val="none"/>
            </w:rPr>
          </w:pPr>
          <w:r>
            <w:rPr>
              <w:rFonts w:hint="eastAsia" w:ascii="仿宋_GB2312" w:hAnsi="Times New Roman" w:cs="Times New Roman"/>
              <w:iCs/>
              <w:sz w:val="24"/>
              <w:szCs w:val="24"/>
              <w:highlight w:val="none"/>
            </w:rPr>
            <w:fldChar w:fldCharType="end"/>
          </w:r>
        </w:p>
      </w:sdtContent>
    </w:sdt>
    <w:p>
      <w:pPr>
        <w:rPr>
          <w:highlight w:val="none"/>
        </w:rPr>
        <w:sectPr>
          <w:footerReference r:id="rId4" w:type="default"/>
          <w:pgSz w:w="11906" w:h="16838"/>
          <w:pgMar w:top="1440" w:right="1800" w:bottom="1440" w:left="1800" w:header="851" w:footer="992" w:gutter="0"/>
          <w:pgNumType w:fmt="upperRoman" w:start="1"/>
          <w:cols w:space="425" w:num="1"/>
          <w:docGrid w:type="lines" w:linePitch="381" w:charSpace="0"/>
        </w:sectPr>
      </w:pPr>
    </w:p>
    <w:p>
      <w:pPr>
        <w:pStyle w:val="3"/>
        <w:rPr>
          <w:highlight w:val="none"/>
        </w:rPr>
      </w:pPr>
      <w:bookmarkStart w:id="0" w:name="_Toc508890061"/>
      <w:bookmarkEnd w:id="0"/>
      <w:bookmarkStart w:id="1" w:name="_Toc508889561"/>
      <w:bookmarkEnd w:id="1"/>
      <w:bookmarkStart w:id="2" w:name="_Toc508889811"/>
      <w:bookmarkEnd w:id="2"/>
      <w:bookmarkStart w:id="3" w:name="_Toc528843176"/>
      <w:bookmarkStart w:id="4" w:name="_Toc508891988"/>
      <w:r>
        <w:rPr>
          <w:rFonts w:hint="eastAsia"/>
          <w:highlight w:val="none"/>
        </w:rPr>
        <w:t>一、建设背景与意义</w:t>
      </w:r>
      <w:bookmarkEnd w:id="3"/>
      <w:bookmarkEnd w:id="4"/>
    </w:p>
    <w:p>
      <w:pPr>
        <w:pStyle w:val="4"/>
        <w:rPr>
          <w:highlight w:val="none"/>
        </w:rPr>
      </w:pPr>
      <w:bookmarkStart w:id="5" w:name="_Toc528843177"/>
      <w:bookmarkStart w:id="6" w:name="_Toc508891989"/>
      <w:r>
        <w:rPr>
          <w:rFonts w:hint="eastAsia"/>
          <w:highlight w:val="none"/>
        </w:rPr>
        <w:t>（一）发展形势</w:t>
      </w:r>
      <w:bookmarkEnd w:id="5"/>
      <w:bookmarkEnd w:id="6"/>
    </w:p>
    <w:p>
      <w:pPr>
        <w:ind w:firstLine="560" w:firstLineChars="200"/>
        <w:rPr>
          <w:highlight w:val="none"/>
        </w:rPr>
      </w:pPr>
      <w:r>
        <w:rPr>
          <w:rFonts w:hint="eastAsia"/>
          <w:highlight w:val="none"/>
        </w:rPr>
        <w:t>全球范围内，大数据引领的新一代信息技术交融渗透，全方位进入到经济社会和百姓生活，推动新产业、新业态、新模式的兴起，同时加速了信息技术向传统产业的渗透，成为数字经济的重要引擎，数据驱动发展正成为时代的主题。</w:t>
      </w:r>
    </w:p>
    <w:p>
      <w:pPr>
        <w:ind w:firstLine="560" w:firstLineChars="200"/>
        <w:rPr>
          <w:highlight w:val="none"/>
        </w:rPr>
      </w:pPr>
      <w:r>
        <w:rPr>
          <w:rFonts w:hint="eastAsia"/>
          <w:highlight w:val="none"/>
        </w:rPr>
        <w:t>当前，我国数字经济正进入快速发展新阶段。据中国信息通信研究院测算，2017年我国数字经济总量达到27.2万亿元，同比名义增长超过20.3%，显著高于当年GDP增速，占GDP比重达到32.9%，同比提升2.6个百分点。数字经济已成为近年来带动经济增长的核心动力，2017年我国数字经济对GDP的贡献为55%，接近甚至超越了某些发达国家的水平，数字经济在国民经济中的地位不断提升。</w:t>
      </w:r>
      <w:r>
        <w:rPr>
          <w:highlight w:val="none"/>
        </w:rPr>
        <w:t>习近平同志</w:t>
      </w:r>
      <w:r>
        <w:rPr>
          <w:rFonts w:hint="eastAsia"/>
          <w:highlight w:val="none"/>
        </w:rPr>
        <w:t>在党的十九大报告中明确指出“推动互联网、大数据、人工智能和实体经济深度融合”，为下一步大数据推动经济发展指明了方向。</w:t>
      </w:r>
      <w:r>
        <w:rPr>
          <w:highlight w:val="none"/>
        </w:rPr>
        <w:t>2017年12月8日，习近平同志在中共中央政治局第二次集体学习时强调，实施国家大数据战略，加快建设数字中国</w:t>
      </w:r>
      <w:r>
        <w:rPr>
          <w:rFonts w:hint="eastAsia"/>
          <w:highlight w:val="none"/>
        </w:rPr>
        <w:t>。</w:t>
      </w:r>
    </w:p>
    <w:p>
      <w:pPr>
        <w:ind w:firstLine="560" w:firstLineChars="200"/>
        <w:rPr>
          <w:highlight w:val="none"/>
        </w:rPr>
      </w:pPr>
      <w:r>
        <w:rPr>
          <w:rFonts w:hint="eastAsia"/>
          <w:highlight w:val="none"/>
        </w:rPr>
        <w:t>江西省为抓住新经济发展时代机遇，推动新经济发展，着力培育发展新动能，于2</w:t>
      </w:r>
      <w:r>
        <w:rPr>
          <w:highlight w:val="none"/>
        </w:rPr>
        <w:t>017</w:t>
      </w:r>
      <w:r>
        <w:rPr>
          <w:rFonts w:hint="eastAsia"/>
          <w:highlight w:val="none"/>
        </w:rPr>
        <w:t>年2月发布《中共江西省委 江西省人民政府关于加快发展新经济培育新动能的意见》（赣发〔2017〕</w:t>
      </w:r>
      <w:r>
        <w:rPr>
          <w:highlight w:val="none"/>
        </w:rPr>
        <w:t>6</w:t>
      </w:r>
      <w:r>
        <w:rPr>
          <w:rFonts w:hint="eastAsia"/>
          <w:highlight w:val="none"/>
        </w:rPr>
        <w:t>号），明确江西省新制造经济、新服务经济、绿色经济、智慧经济、分享经济五大新经济主攻方向，其中智慧经济的重点任务就是发展“互联网+”，着力培育大数据及云计算、物联网、电子商务、移动互联网、数字视听等智慧产业。为抢抓大数据发展机遇，加快建设数据强省，江西省先后发布了《江西省人民政府关于印发促进大数据发展实施方案的通知》（赣府发〔2016〕5号）、《江西省人民政府办公厅关于印发江西省大数据发展行动计划的通知》（赣府厅发〔2017〕39号）等文件，推动大数据应用和产业发展。南昌、上饶、新余、抚州等地市积极响应省里号召，立足本地政策与资源优势，建设大数据产业园汇聚发展大数据产业，其中上饶高铁经济试验区被授予江西省大数据产业基地称号，成为江西省唯一的省级大数据产业基地。</w:t>
      </w:r>
    </w:p>
    <w:p>
      <w:pPr>
        <w:ind w:firstLine="560" w:firstLineChars="200"/>
        <w:rPr>
          <w:highlight w:val="none"/>
        </w:rPr>
      </w:pPr>
      <w:r>
        <w:rPr>
          <w:rFonts w:hint="eastAsia"/>
          <w:highlight w:val="none"/>
        </w:rPr>
        <w:t>宜春市正面临一系列难得的发展机遇。江西省于2</w:t>
      </w:r>
      <w:r>
        <w:rPr>
          <w:highlight w:val="none"/>
        </w:rPr>
        <w:t>016</w:t>
      </w:r>
      <w:r>
        <w:rPr>
          <w:rFonts w:hint="eastAsia"/>
          <w:highlight w:val="none"/>
        </w:rPr>
        <w:t>年1</w:t>
      </w:r>
      <w:r>
        <w:rPr>
          <w:highlight w:val="none"/>
        </w:rPr>
        <w:t>1</w:t>
      </w:r>
      <w:r>
        <w:rPr>
          <w:rFonts w:hint="eastAsia"/>
          <w:highlight w:val="none"/>
        </w:rPr>
        <w:t>月发布《赣西经济转型十三五发展规划（2016-2020年）》（赣发改地区〔2016〕1141号），在赣西中心城市功能定位中，明确要将宜春市打造为区域性中心城市和综合交通枢纽，生态文明和转型发展示范城市，建设全省低碳产业示范基地、现代农业示范基地、国家锂电新能源产业基地、中国宜居城市、国际知名健康养生休闲度假目的地。此外，江西省正大力推进国家生态文明先行示范区建设，宜春市被列为全国“生态+大健康”产业发展试点城市。</w:t>
      </w:r>
    </w:p>
    <w:p>
      <w:pPr>
        <w:ind w:firstLine="560" w:firstLineChars="200"/>
        <w:rPr>
          <w:highlight w:val="none"/>
        </w:rPr>
      </w:pPr>
      <w:r>
        <w:rPr>
          <w:rFonts w:hint="eastAsia"/>
          <w:highlight w:val="none"/>
        </w:rPr>
        <w:t>为适应新时代、新经济、新常态的发展需要，宜春市委、市政府应乘势而上，充分发挥宜春本地资源、区位的优势，抢先布局智慧经济，建设</w:t>
      </w:r>
      <w:bookmarkStart w:id="432" w:name="_GoBack"/>
      <w:bookmarkEnd w:id="432"/>
      <w:r>
        <w:rPr>
          <w:rFonts w:hint="eastAsia"/>
          <w:highlight w:val="none"/>
          <w:lang w:eastAsia="zh-CN"/>
        </w:rPr>
        <w:t>宜春市</w:t>
      </w:r>
      <w:r>
        <w:rPr>
          <w:rFonts w:hint="eastAsia"/>
          <w:highlight w:val="none"/>
        </w:rPr>
        <w:t>智慧经济产业特色小镇（以下简称智慧小镇），加快大数据等新兴产业发展，助力传统产业的转型升级，引领宜春经济社会发展，着力把宜春打造成赣西片区大数据产业和智慧城市建设示范区。</w:t>
      </w:r>
    </w:p>
    <w:p>
      <w:pPr>
        <w:pStyle w:val="4"/>
        <w:rPr>
          <w:highlight w:val="none"/>
        </w:rPr>
      </w:pPr>
      <w:bookmarkStart w:id="7" w:name="_Toc528843178"/>
      <w:bookmarkStart w:id="8" w:name="_Toc508891993"/>
      <w:r>
        <w:rPr>
          <w:rFonts w:hint="eastAsia"/>
          <w:highlight w:val="none"/>
        </w:rPr>
        <w:t>（二）建设意义</w:t>
      </w:r>
      <w:bookmarkEnd w:id="7"/>
      <w:bookmarkEnd w:id="8"/>
    </w:p>
    <w:p>
      <w:pPr>
        <w:ind w:firstLine="562" w:firstLineChars="200"/>
        <w:rPr>
          <w:b/>
          <w:highlight w:val="none"/>
        </w:rPr>
      </w:pPr>
      <w:r>
        <w:rPr>
          <w:rFonts w:hint="eastAsia"/>
          <w:b/>
          <w:highlight w:val="none"/>
        </w:rPr>
        <w:t>1、智慧小镇将加速宜春市大数据产业的发展进程</w:t>
      </w:r>
    </w:p>
    <w:p>
      <w:pPr>
        <w:ind w:firstLine="560" w:firstLineChars="200"/>
        <w:rPr>
          <w:highlight w:val="none"/>
        </w:rPr>
      </w:pPr>
      <w:r>
        <w:rPr>
          <w:rFonts w:hint="eastAsia"/>
          <w:highlight w:val="none"/>
        </w:rPr>
        <w:t>智慧小镇作为宜春市大数据企业的重要聚集基地，是推动智慧经济与大数据产业快速发展的重要抓手。通过建设智慧小镇，宜春市可迅速整合聚集大数据企业发展所需要的多种资源、形成产业上下游联动机制，吸引众多互补型企业、产业链上下游企业入驻，建立良好的大数据产业发展环境，为大数据相关企业提供一个良好的发展空间，从而推动宜春市大数据产业，以及相关联的云计算、物联网、移动互联网等新一代信息技术产业快速发展。</w:t>
      </w:r>
    </w:p>
    <w:p>
      <w:pPr>
        <w:ind w:firstLine="562" w:firstLineChars="200"/>
        <w:rPr>
          <w:b/>
          <w:highlight w:val="none"/>
        </w:rPr>
      </w:pPr>
      <w:r>
        <w:rPr>
          <w:rFonts w:hint="eastAsia"/>
          <w:b/>
          <w:highlight w:val="none"/>
        </w:rPr>
        <w:t>2、智慧小镇将提升宜春市大数据品牌效应</w:t>
      </w:r>
    </w:p>
    <w:p>
      <w:pPr>
        <w:ind w:firstLine="560" w:firstLineChars="200"/>
        <w:rPr>
          <w:highlight w:val="none"/>
        </w:rPr>
      </w:pPr>
      <w:r>
        <w:rPr>
          <w:rFonts w:hint="eastAsia"/>
          <w:highlight w:val="none"/>
        </w:rPr>
        <w:t>建设智慧小镇，发挥规模、品牌、资源等价值效应，可以吸引大量高科技企业入驻投资，对宜春市的企业资本扩张起到巨大的推动作用，从而带动本地经济的快速发展，是区域经济发展的高效助推器。面对上饶、抚州、新余等地市大数据产业的竞争，智慧小镇建设应立足赣西片区以及全省层面，树立宜春市大数据产业发展的旗帜，打造宜春市大数据产业发展的品牌。</w:t>
      </w:r>
    </w:p>
    <w:p>
      <w:pPr>
        <w:ind w:firstLine="562" w:firstLineChars="200"/>
        <w:rPr>
          <w:b/>
          <w:highlight w:val="none"/>
        </w:rPr>
      </w:pPr>
      <w:r>
        <w:rPr>
          <w:rFonts w:hint="eastAsia"/>
          <w:b/>
          <w:highlight w:val="none"/>
        </w:rPr>
        <w:t>3、智慧小镇将促进宜春市转型进入新经济发展之路</w:t>
      </w:r>
    </w:p>
    <w:p>
      <w:pPr>
        <w:ind w:firstLine="560" w:firstLineChars="200"/>
        <w:rPr>
          <w:highlight w:val="none"/>
        </w:rPr>
      </w:pPr>
      <w:r>
        <w:rPr>
          <w:rFonts w:hint="eastAsia"/>
          <w:highlight w:val="none"/>
        </w:rPr>
        <w:t>智慧小镇支持大数据、云计算、互联网、物联网等智慧产业的关键核心技术研发，能够为传统生产型企业提供从生产到运行的全流程大数据分析能力，提升中小企业在资源、能力、信息共享方面的深层应用，加快大数据与农业、工业、服务业的深度融合，通过大数据带动其他产业的快速发展，形成联动发展的新态势，推动宜春市新制造经济、新服务经济、绿色经济、分享经济的协同发展，可助力宜春市走上新经济发展之路。</w:t>
      </w:r>
    </w:p>
    <w:p>
      <w:pPr>
        <w:pStyle w:val="4"/>
        <w:rPr>
          <w:highlight w:val="none"/>
        </w:rPr>
      </w:pPr>
      <w:bookmarkStart w:id="9" w:name="_Toc528843179"/>
      <w:r>
        <w:rPr>
          <w:rFonts w:hint="eastAsia"/>
          <w:highlight w:val="none"/>
        </w:rPr>
        <w:t>（三）建设要求</w:t>
      </w:r>
      <w:bookmarkEnd w:id="9"/>
    </w:p>
    <w:p>
      <w:pPr>
        <w:ind w:firstLine="560" w:firstLineChars="200"/>
        <w:rPr>
          <w:highlight w:val="none"/>
        </w:rPr>
      </w:pPr>
      <w:r>
        <w:rPr>
          <w:rFonts w:hint="eastAsia"/>
          <w:highlight w:val="none"/>
        </w:rPr>
        <w:t>中央从2016年开始将特色小镇创建列为重点工作之一，各部委、地方政府密集出台相应政策，支持特色小镇创建工作，特色小镇在国家层面进入了全面推广的新阶段。2016年7月，住房城乡建设部、国家发展改革委、财政部联合下发了《关于开展特色小镇培育工作的通知》，这是支持特色小镇建设的首个国家层面政策。2016年10月14日，住建部公布了第一批127个中国特色小镇名单。2017年8月，住建部公布第二批中国特色小镇名单。2017年12月，发改委、国土部、环保部、住建部四部委联合出台《关于规范推进特色小镇和特色小城镇建设的若干意见》。随着一系列特色小镇政策的出台以及资本的推波助澜，特色小镇在全国刮起了一阵旋风，各地政府、产业资本、房地产商等都开启了小镇发展模式。截至2017年底，全国有23个地方政府启动了特色小镇培育创建工作。</w:t>
      </w:r>
    </w:p>
    <w:p>
      <w:pPr>
        <w:ind w:firstLine="560" w:firstLineChars="200"/>
        <w:rPr>
          <w:highlight w:val="none"/>
        </w:rPr>
      </w:pPr>
      <w:r>
        <w:rPr>
          <w:rFonts w:hint="eastAsia"/>
          <w:highlight w:val="none"/>
        </w:rPr>
        <w:t>特色小镇建设掀起热潮，多部委发文规范特色小镇的建设原则与要求。当前特色小镇和小城镇建设取得了一些进展，积累了一些经验，涌现出一批产业特色鲜明、要素集聚、宜居宜业、富有活力的特色小镇。不过在特色小镇推进过程中，也出现了概念不清、定位不准、急于求成、盲目发展以及市场化不足等问题，种种乱象使得特色小镇的建设面临瓶颈。针对这些问题，四部委发文《关于规范推进特色小镇和特色小城镇建设的若干意见》，指出特色小镇是在几平方公里土地上集聚特色产业、生产生活生态空间相融合、不同于行政建制镇和产业园区的创新创业平台，明确提出特色小镇的建设原则与重点任务，对特色小镇建设过程中存在的各类问题进行了统一规范。主要建设原则概括如下：</w:t>
      </w:r>
    </w:p>
    <w:p>
      <w:pPr>
        <w:ind w:firstLine="562" w:firstLineChars="200"/>
        <w:rPr>
          <w:highlight w:val="none"/>
        </w:rPr>
      </w:pPr>
      <w:r>
        <w:rPr>
          <w:rFonts w:hint="eastAsia"/>
          <w:b/>
          <w:highlight w:val="none"/>
        </w:rPr>
        <w:t>坚持创新探索。</w:t>
      </w:r>
      <w:r>
        <w:rPr>
          <w:rFonts w:hint="eastAsia"/>
          <w:highlight w:val="none"/>
        </w:rPr>
        <w:t>创新工作思路、方法和机制，着力培育供给侧小镇经济。准确把握特色小镇内涵特质，立足产业“特而强”、功能“聚而合”、形态“小而美”、机制“新而活”，推动创新性供给与个性化需求有效对接，打造创新创业发展平台和新型城镇化有效载体。努力走出一条特色鲜明、产城融合、惠及群众的新路子，防止“新瓶装旧酒”、“穿新鞋走老路”。</w:t>
      </w:r>
    </w:p>
    <w:p>
      <w:pPr>
        <w:ind w:firstLine="562" w:firstLineChars="200"/>
        <w:rPr>
          <w:highlight w:val="none"/>
        </w:rPr>
      </w:pPr>
      <w:r>
        <w:rPr>
          <w:rFonts w:hint="eastAsia"/>
          <w:b/>
          <w:highlight w:val="none"/>
        </w:rPr>
        <w:t>坚持因地制宜。</w:t>
      </w:r>
      <w:r>
        <w:rPr>
          <w:rFonts w:hint="eastAsia"/>
          <w:highlight w:val="none"/>
        </w:rPr>
        <w:t>从各地区实际出发，遵循客观规律，实事求是、量力而行、控制数量、提高质量，体现区域差异性，提倡形态多样性，合理借鉴其他地区理念方法、精神实质和创新精神，追求慢工出细活出精品，避免脱离实际照搬照抄，不搞区域平衡、产业平衡、数量要求和政绩考核。</w:t>
      </w:r>
    </w:p>
    <w:p>
      <w:pPr>
        <w:ind w:firstLine="562" w:firstLineChars="200"/>
        <w:rPr>
          <w:highlight w:val="none"/>
        </w:rPr>
      </w:pPr>
      <w:r>
        <w:rPr>
          <w:rFonts w:hint="eastAsia"/>
          <w:b/>
          <w:highlight w:val="none"/>
        </w:rPr>
        <w:t>坚持产业建镇。</w:t>
      </w:r>
      <w:r>
        <w:rPr>
          <w:rFonts w:hint="eastAsia"/>
          <w:highlight w:val="none"/>
        </w:rPr>
        <w:t>立足各地区要素禀赋和比较优势，挖掘最有基础、最具潜力、最能成长的特色产业，以特色产业为核心，兼顾特色文化、特色功能和特色建筑，找准特色、凸显特色、放大特色，防止内容重复、形态雷同、特色不鲜明和同质化竞争。聚焦高端产业和产业高端方向，着力发展优势主导特色产业，延伸产业链、提升价值链、创新供应链，吸引人才、技术、资金等高端要素集聚，打造特色产业集群，防止千镇一面和房地产化。</w:t>
      </w:r>
    </w:p>
    <w:p>
      <w:pPr>
        <w:ind w:firstLine="562" w:firstLineChars="200"/>
        <w:rPr>
          <w:highlight w:val="none"/>
        </w:rPr>
      </w:pPr>
      <w:r>
        <w:rPr>
          <w:rFonts w:hint="eastAsia"/>
          <w:b/>
          <w:highlight w:val="none"/>
        </w:rPr>
        <w:t>坚持以人为本。</w:t>
      </w:r>
      <w:r>
        <w:rPr>
          <w:rFonts w:hint="eastAsia"/>
          <w:highlight w:val="none"/>
        </w:rPr>
        <w:t>围绕人的城镇化，统筹生产生活生态空间布局，科学规划特色小镇的生产、生活、生态空间，促进产城人文融合发展，留存原住居民生活空间，增强生活服务功能，提炼文化经典元素和标志性符号，保护特色景观资源，提升服务功能、环境质量、文化内涵和发展品质，打造宜居宜业环境，提高人民获得感和幸福感，防止政绩工程和形象工程。</w:t>
      </w:r>
    </w:p>
    <w:p>
      <w:pPr>
        <w:ind w:firstLine="562" w:firstLineChars="200"/>
        <w:rPr>
          <w:highlight w:val="none"/>
        </w:rPr>
      </w:pPr>
      <w:r>
        <w:rPr>
          <w:rFonts w:hint="eastAsia"/>
          <w:b/>
          <w:highlight w:val="none"/>
        </w:rPr>
        <w:t>坚持市场主导。</w:t>
      </w:r>
      <w:r>
        <w:rPr>
          <w:rFonts w:hint="eastAsia"/>
          <w:highlight w:val="none"/>
        </w:rPr>
        <w:t>按照政府引导、企业主体、市场化运作的要求，以企业为特色小镇和小城镇建设主力军，引导企业有效投资、对标一流、扩大高端供给，激发企业家创造力和人民消费需求。注重引入央企、国企和大中型民企等作为特色小镇主要投资运营商，尽可能避免政府举债建设进而加重债务包袱。创新建设模式、管理方式和服务手段，推动多元化主体同心同向、共建共享，发挥政府制定规划政策、搭建发展平台等作用，防止政府大包大揽和加剧债务风险。</w:t>
      </w:r>
    </w:p>
    <w:p>
      <w:pPr>
        <w:ind w:firstLine="562" w:firstLineChars="200"/>
        <w:rPr>
          <w:highlight w:val="none"/>
        </w:rPr>
      </w:pPr>
      <w:r>
        <w:rPr>
          <w:rFonts w:hint="eastAsia"/>
          <w:b/>
          <w:highlight w:val="none"/>
        </w:rPr>
        <w:t>坚持合理管控。</w:t>
      </w:r>
      <w:r>
        <w:rPr>
          <w:rFonts w:hint="eastAsia"/>
          <w:highlight w:val="none"/>
        </w:rPr>
        <w:t>严格节约集约用地，要落实最严格的耕地保护制度和最严格的节约用地制度，在符合土地利用总体规划和城乡规划的前提下，划定特色小镇和小城镇发展边界。合理控制特色小镇实施范围，规划用地面积控制在3平方公里左右，其中建设用地面积控制在1平方公里左右。严守生态保护红线，依据应划尽划、应保尽保原则完成生态保护红线划定工作，严禁以特色小镇和小城镇建设名义破坏生态，严把特色小镇和小城镇产业准入关。</w:t>
      </w:r>
    </w:p>
    <w:p>
      <w:pPr>
        <w:pStyle w:val="3"/>
        <w:rPr>
          <w:highlight w:val="none"/>
        </w:rPr>
      </w:pPr>
      <w:bookmarkStart w:id="10" w:name="_Toc528843180"/>
      <w:bookmarkStart w:id="11" w:name="_Toc508891994"/>
      <w:r>
        <w:rPr>
          <w:rFonts w:hint="eastAsia"/>
          <w:highlight w:val="none"/>
        </w:rPr>
        <w:t>二、建设思路与目标</w:t>
      </w:r>
      <w:bookmarkEnd w:id="10"/>
    </w:p>
    <w:p>
      <w:pPr>
        <w:pStyle w:val="4"/>
        <w:rPr>
          <w:highlight w:val="none"/>
        </w:rPr>
      </w:pPr>
      <w:bookmarkStart w:id="12" w:name="_Toc528843181"/>
      <w:r>
        <w:rPr>
          <w:rFonts w:hint="eastAsia"/>
          <w:highlight w:val="none"/>
        </w:rPr>
        <w:t>（一）发展定位</w:t>
      </w:r>
      <w:bookmarkEnd w:id="12"/>
    </w:p>
    <w:p>
      <w:pPr>
        <w:ind w:firstLine="560" w:firstLineChars="200"/>
        <w:rPr>
          <w:highlight w:val="none"/>
        </w:rPr>
      </w:pPr>
      <w:r>
        <w:rPr>
          <w:rFonts w:hint="eastAsia"/>
          <w:highlight w:val="none"/>
        </w:rPr>
        <w:t>通过重点建设数据资源中心“1”个中心，发展智慧服务基地、产业运营与产业创新基地、应用研发基地“3”个基地，打造智慧小镇运营服务体系“1”个体系，通过推动智慧城市建设和传统产业转型起步，重点发展以数字文娱和人工智能为驱动力的智慧经济产业，将智慧小镇打造为宜春市大数据产业核心引擎和江西省智慧经济特色产业集聚区。</w:t>
      </w:r>
    </w:p>
    <w:p>
      <w:pPr>
        <w:pStyle w:val="4"/>
        <w:rPr>
          <w:highlight w:val="none"/>
        </w:rPr>
      </w:pPr>
      <w:bookmarkStart w:id="13" w:name="_Toc528843182"/>
      <w:r>
        <w:rPr>
          <w:rFonts w:hint="eastAsia"/>
          <w:highlight w:val="none"/>
        </w:rPr>
        <w:t>（二）发展思路</w:t>
      </w:r>
      <w:bookmarkEnd w:id="13"/>
    </w:p>
    <w:p>
      <w:pPr>
        <w:ind w:firstLine="560" w:firstLineChars="200"/>
        <w:rPr>
          <w:highlight w:val="none"/>
        </w:rPr>
      </w:pPr>
      <w:r>
        <w:rPr>
          <w:rFonts w:hint="eastAsia"/>
          <w:highlight w:val="none"/>
        </w:rPr>
        <w:t>智慧小镇作为宜春市大数据产业的</w:t>
      </w:r>
      <w:r>
        <w:rPr>
          <w:rFonts w:hint="eastAsia"/>
          <w:b/>
          <w:bCs/>
          <w:highlight w:val="none"/>
        </w:rPr>
        <w:t>核心载体</w:t>
      </w:r>
      <w:r>
        <w:rPr>
          <w:rFonts w:hint="eastAsia"/>
          <w:highlight w:val="none"/>
        </w:rPr>
        <w:t>，以</w:t>
      </w:r>
      <w:r>
        <w:rPr>
          <w:rFonts w:hint="eastAsia"/>
          <w:b/>
          <w:bCs/>
          <w:highlight w:val="none"/>
        </w:rPr>
        <w:t>推动智慧城市建设实现数据资源汇聚</w:t>
      </w:r>
      <w:r>
        <w:rPr>
          <w:rFonts w:hint="eastAsia"/>
          <w:highlight w:val="none"/>
        </w:rPr>
        <w:t>起步，通过</w:t>
      </w:r>
      <w:r>
        <w:rPr>
          <w:rFonts w:hint="eastAsia"/>
          <w:b/>
          <w:bCs/>
          <w:highlight w:val="none"/>
        </w:rPr>
        <w:t>聚集</w:t>
      </w:r>
      <w:r>
        <w:rPr>
          <w:b/>
          <w:bCs/>
          <w:highlight w:val="none"/>
        </w:rPr>
        <w:t>IT</w:t>
      </w:r>
      <w:r>
        <w:rPr>
          <w:rFonts w:hint="eastAsia"/>
          <w:b/>
          <w:bCs/>
          <w:highlight w:val="none"/>
        </w:rPr>
        <w:t>企业服务于产业数字化转型</w:t>
      </w:r>
      <w:r>
        <w:rPr>
          <w:rFonts w:hint="eastAsia"/>
          <w:highlight w:val="none"/>
        </w:rPr>
        <w:t>发展</w:t>
      </w:r>
      <w:r>
        <w:rPr>
          <w:rFonts w:hint="eastAsia"/>
          <w:b/>
          <w:bCs/>
          <w:highlight w:val="none"/>
        </w:rPr>
        <w:t>，以数字文娱、人工智能等数字产业化</w:t>
      </w:r>
      <w:r>
        <w:rPr>
          <w:rFonts w:hint="eastAsia"/>
          <w:highlight w:val="none"/>
        </w:rPr>
        <w:t>逐步壮大，与宜春市下辖县市、产业园区联动，通过</w:t>
      </w:r>
      <w:r>
        <w:rPr>
          <w:highlight w:val="none"/>
        </w:rPr>
        <w:t>5-8</w:t>
      </w:r>
      <w:r>
        <w:rPr>
          <w:rFonts w:hint="eastAsia"/>
          <w:highlight w:val="none"/>
        </w:rPr>
        <w:t>年时间实现宜春市经济发展的</w:t>
      </w:r>
      <w:r>
        <w:rPr>
          <w:rFonts w:hint="eastAsia"/>
          <w:b/>
          <w:bCs/>
          <w:highlight w:val="none"/>
        </w:rPr>
        <w:t>动能转换</w:t>
      </w:r>
      <w:r>
        <w:rPr>
          <w:rFonts w:hint="eastAsia"/>
          <w:highlight w:val="none"/>
        </w:rPr>
        <w:t>，推动数字产业化成为宜春经济发展的新动能。</w:t>
      </w:r>
    </w:p>
    <w:p>
      <w:pPr>
        <w:rPr>
          <w:highlight w:val="none"/>
        </w:rPr>
      </w:pPr>
    </w:p>
    <w:p>
      <w:pPr>
        <w:rPr>
          <w:highlight w:val="none"/>
        </w:rPr>
      </w:pPr>
      <w:r>
        <w:rPr>
          <w:rFonts w:hint="eastAsia"/>
          <w:highlight w:val="none"/>
        </w:rPr>
        <w:drawing>
          <wp:inline distT="0" distB="0" distL="0" distR="0">
            <wp:extent cx="5274310" cy="190690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1906905"/>
                    </a:xfrm>
                    <a:prstGeom prst="rect">
                      <a:avLst/>
                    </a:prstGeom>
                    <a:noFill/>
                    <a:ln>
                      <a:noFill/>
                    </a:ln>
                  </pic:spPr>
                </pic:pic>
              </a:graphicData>
            </a:graphic>
          </wp:inline>
        </w:drawing>
      </w:r>
    </w:p>
    <w:p>
      <w:pPr>
        <w:jc w:val="center"/>
        <w:rPr>
          <w:highlight w:val="none"/>
        </w:rPr>
      </w:pPr>
      <w:r>
        <w:rPr>
          <w:rFonts w:hint="eastAsia"/>
          <w:highlight w:val="none"/>
        </w:rPr>
        <w:t>图2-1</w:t>
      </w:r>
      <w:r>
        <w:rPr>
          <w:highlight w:val="none"/>
        </w:rPr>
        <w:t xml:space="preserve"> </w:t>
      </w:r>
      <w:r>
        <w:rPr>
          <w:rFonts w:hint="eastAsia"/>
          <w:highlight w:val="none"/>
        </w:rPr>
        <w:t>智慧小镇总体发展框架</w:t>
      </w:r>
    </w:p>
    <w:p>
      <w:pPr>
        <w:ind w:firstLine="560" w:firstLineChars="200"/>
        <w:rPr>
          <w:highlight w:val="none"/>
        </w:rPr>
      </w:pPr>
      <w:r>
        <w:rPr>
          <w:rFonts w:hint="eastAsia"/>
          <w:highlight w:val="none"/>
        </w:rPr>
        <w:t>以推进智慧城市建设为发力点，通过政府购买服务推进智慧政务、智慧民生和智慧城市管理等项目建设，推动大数据资源汇聚和本地产业发展；基于汇聚的数据资源和云数据中心等基础设施，重点引入数字文娱、工业互联网、电商大数据、旅游大数据和物流大数据等新兴业态，推动产业创新发展；着力开展人工智能、区块链等新技术的应用研发，带动传统优势产业转型升级和新兴产业加快聚集，以产业创新和应用研发为引擎，推动以大数据为特色的智慧小镇建设。</w:t>
      </w:r>
    </w:p>
    <w:p>
      <w:pPr>
        <w:pStyle w:val="4"/>
        <w:rPr>
          <w:highlight w:val="none"/>
        </w:rPr>
      </w:pPr>
      <w:bookmarkStart w:id="14" w:name="_Toc528843183"/>
      <w:r>
        <w:rPr>
          <w:rFonts w:hint="eastAsia"/>
          <w:highlight w:val="none"/>
        </w:rPr>
        <w:t>（三）发展目标</w:t>
      </w:r>
      <w:bookmarkEnd w:id="14"/>
    </w:p>
    <w:p>
      <w:pPr>
        <w:ind w:firstLine="560" w:firstLineChars="200"/>
        <w:rPr>
          <w:highlight w:val="none"/>
        </w:rPr>
      </w:pPr>
      <w:r>
        <w:rPr>
          <w:rFonts w:hint="eastAsia"/>
          <w:highlight w:val="none"/>
        </w:rPr>
        <w:t>综合考虑载体建设和产业招商进度，预计到2020年可完成智慧小镇一期1350亩建设用地的开发建设并投产。按照1.19的容积率进行规划，智慧小镇一期建筑面积可达107.1万平方米。</w:t>
      </w:r>
    </w:p>
    <w:p>
      <w:pPr>
        <w:ind w:firstLine="560" w:firstLineChars="200"/>
        <w:jc w:val="center"/>
        <w:rPr>
          <w:highlight w:val="none"/>
        </w:rPr>
      </w:pPr>
      <w:r>
        <w:rPr>
          <w:rFonts w:hint="eastAsia"/>
          <w:highlight w:val="none"/>
        </w:rPr>
        <w:t>表2.1</w:t>
      </w:r>
      <w:r>
        <w:rPr>
          <w:highlight w:val="none"/>
        </w:rPr>
        <w:t xml:space="preserve"> </w:t>
      </w:r>
      <w:r>
        <w:rPr>
          <w:rFonts w:hint="eastAsia"/>
          <w:highlight w:val="none"/>
        </w:rPr>
        <w:t>智慧小镇规划面积及一期建筑面积</w:t>
      </w:r>
    </w:p>
    <w:tbl>
      <w:tblPr>
        <w:tblStyle w:val="36"/>
        <w:tblW w:w="8420" w:type="dxa"/>
        <w:tblInd w:w="0" w:type="dxa"/>
        <w:tblLayout w:type="fixed"/>
        <w:tblCellMar>
          <w:top w:w="0" w:type="dxa"/>
          <w:left w:w="108" w:type="dxa"/>
          <w:bottom w:w="0" w:type="dxa"/>
          <w:right w:w="108" w:type="dxa"/>
        </w:tblCellMar>
      </w:tblPr>
      <w:tblGrid>
        <w:gridCol w:w="1500"/>
        <w:gridCol w:w="1440"/>
        <w:gridCol w:w="1440"/>
        <w:gridCol w:w="1320"/>
        <w:gridCol w:w="1360"/>
        <w:gridCol w:w="1360"/>
      </w:tblGrid>
      <w:tr>
        <w:tblPrEx>
          <w:tblLayout w:type="fixed"/>
          <w:tblCellMar>
            <w:top w:w="0" w:type="dxa"/>
            <w:left w:w="108" w:type="dxa"/>
            <w:bottom w:w="0" w:type="dxa"/>
            <w:right w:w="108" w:type="dxa"/>
          </w:tblCellMar>
        </w:tblPrEx>
        <w:trPr>
          <w:trHeight w:val="540" w:hRule="atLeast"/>
        </w:trPr>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阶段</w:t>
            </w:r>
          </w:p>
        </w:tc>
        <w:tc>
          <w:tcPr>
            <w:tcW w:w="144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规划面积</w:t>
            </w:r>
          </w:p>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（亩）</w:t>
            </w:r>
          </w:p>
        </w:tc>
        <w:tc>
          <w:tcPr>
            <w:tcW w:w="14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可建设用地（亩）</w:t>
            </w:r>
          </w:p>
        </w:tc>
        <w:tc>
          <w:tcPr>
            <w:tcW w:w="132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容积率</w:t>
            </w:r>
          </w:p>
        </w:tc>
        <w:tc>
          <w:tcPr>
            <w:tcW w:w="1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建筑面积（万</w:t>
            </w:r>
            <w:r>
              <w:rPr>
                <w:rFonts w:ascii="仿宋_GB2312" w:hAnsi="宋体" w:cs="宋体"/>
                <w:color w:val="000000"/>
                <w:kern w:val="0"/>
                <w:sz w:val="24"/>
                <w:szCs w:val="24"/>
                <w:highlight w:val="none"/>
              </w:rPr>
              <w:t>m</w:t>
            </w:r>
            <w:r>
              <w:rPr>
                <w:rFonts w:ascii="Calibri" w:hAnsi="Calibri" w:cs="Calibri"/>
                <w:color w:val="000000"/>
                <w:kern w:val="0"/>
                <w:sz w:val="24"/>
                <w:szCs w:val="24"/>
                <w:highlight w:val="none"/>
              </w:rPr>
              <w:t>²</w:t>
            </w:r>
            <w:r>
              <w:rPr>
                <w:rFonts w:hint="eastAsia" w:ascii="仿宋_GB2312" w:hAnsi="宋体" w:cs="宋体"/>
                <w:color w:val="000000"/>
                <w:kern w:val="0"/>
                <w:sz w:val="24"/>
                <w:szCs w:val="24"/>
                <w:highlight w:val="none"/>
              </w:rPr>
              <w:t>）</w:t>
            </w:r>
          </w:p>
        </w:tc>
        <w:tc>
          <w:tcPr>
            <w:tcW w:w="1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预计投产年份</w:t>
            </w:r>
          </w:p>
        </w:tc>
      </w:tr>
      <w:tr>
        <w:tblPrEx>
          <w:tblLayout w:type="fixed"/>
          <w:tblCellMar>
            <w:top w:w="0" w:type="dxa"/>
            <w:left w:w="108" w:type="dxa"/>
            <w:bottom w:w="0" w:type="dxa"/>
            <w:right w:w="108" w:type="dxa"/>
          </w:tblCellMar>
        </w:tblPrEx>
        <w:trPr>
          <w:trHeight w:val="270" w:hRule="atLeast"/>
        </w:trPr>
        <w:tc>
          <w:tcPr>
            <w:tcW w:w="1500"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一期</w:t>
            </w:r>
          </w:p>
        </w:tc>
        <w:tc>
          <w:tcPr>
            <w:tcW w:w="144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1350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1350</w:t>
            </w:r>
          </w:p>
        </w:tc>
        <w:tc>
          <w:tcPr>
            <w:tcW w:w="132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1.19</w:t>
            </w: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107.10</w:t>
            </w: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2020年</w:t>
            </w:r>
          </w:p>
        </w:tc>
      </w:tr>
      <w:tr>
        <w:tblPrEx>
          <w:tblLayout w:type="fixed"/>
          <w:tblCellMar>
            <w:top w:w="0" w:type="dxa"/>
            <w:left w:w="108" w:type="dxa"/>
            <w:bottom w:w="0" w:type="dxa"/>
            <w:right w:w="108" w:type="dxa"/>
          </w:tblCellMar>
        </w:tblPrEx>
        <w:trPr>
          <w:trHeight w:val="270" w:hRule="atLeast"/>
        </w:trPr>
        <w:tc>
          <w:tcPr>
            <w:tcW w:w="1500"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二期</w:t>
            </w:r>
          </w:p>
        </w:tc>
        <w:tc>
          <w:tcPr>
            <w:tcW w:w="144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5310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5310</w:t>
            </w:r>
          </w:p>
        </w:tc>
        <w:tc>
          <w:tcPr>
            <w:tcW w:w="132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270" w:hRule="atLeast"/>
        </w:trPr>
        <w:tc>
          <w:tcPr>
            <w:tcW w:w="1500"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三期</w:t>
            </w:r>
          </w:p>
        </w:tc>
        <w:tc>
          <w:tcPr>
            <w:tcW w:w="144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15000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3650</w:t>
            </w:r>
          </w:p>
        </w:tc>
        <w:tc>
          <w:tcPr>
            <w:tcW w:w="132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r>
      <w:tr>
        <w:tblPrEx>
          <w:tblLayout w:type="fixed"/>
          <w:tblCellMar>
            <w:top w:w="0" w:type="dxa"/>
            <w:left w:w="108" w:type="dxa"/>
            <w:bottom w:w="0" w:type="dxa"/>
            <w:right w:w="108" w:type="dxa"/>
          </w:tblCellMar>
        </w:tblPrEx>
        <w:trPr>
          <w:trHeight w:val="270" w:hRule="atLeast"/>
        </w:trPr>
        <w:tc>
          <w:tcPr>
            <w:tcW w:w="1500"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合计</w:t>
            </w:r>
          </w:p>
        </w:tc>
        <w:tc>
          <w:tcPr>
            <w:tcW w:w="144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21660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10310</w:t>
            </w:r>
          </w:p>
        </w:tc>
        <w:tc>
          <w:tcPr>
            <w:tcW w:w="132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c>
          <w:tcPr>
            <w:tcW w:w="136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p>
        </w:tc>
      </w:tr>
    </w:tbl>
    <w:p>
      <w:pPr>
        <w:rPr>
          <w:highlight w:val="none"/>
        </w:rPr>
      </w:pPr>
      <w:r>
        <w:rPr>
          <w:rFonts w:hint="eastAsia"/>
          <w:highlight w:val="none"/>
        </w:rPr>
        <w:t>数据来源：宜春市自然资源局</w:t>
      </w:r>
    </w:p>
    <w:p>
      <w:pPr>
        <w:ind w:firstLine="560" w:firstLineChars="200"/>
        <w:rPr>
          <w:highlight w:val="none"/>
        </w:rPr>
      </w:pPr>
      <w:r>
        <w:rPr>
          <w:rFonts w:hint="eastAsia"/>
          <w:highlight w:val="none"/>
        </w:rPr>
        <w:t>综合考虑重点产业的发展趋势、产业承接力度以及重点发展机遇等因素，我们按照高中低三个方案给出智慧小镇2020年的发展目标，结合宜春实际情况及产业发展难度等，我们推荐中方案，按照单位建筑面积营业收入为0.75亿元/万平方米进行估算，到2020年，智慧小镇入驻企业年营业收入可突破80亿元，土地产出率为595万元/亩。</w:t>
      </w:r>
    </w:p>
    <w:p>
      <w:pPr>
        <w:ind w:firstLine="560" w:firstLineChars="200"/>
        <w:jc w:val="center"/>
        <w:rPr>
          <w:highlight w:val="none"/>
        </w:rPr>
      </w:pPr>
      <w:r>
        <w:rPr>
          <w:rFonts w:hint="eastAsia"/>
          <w:highlight w:val="none"/>
        </w:rPr>
        <w:t>表2.2</w:t>
      </w:r>
      <w:r>
        <w:rPr>
          <w:highlight w:val="none"/>
        </w:rPr>
        <w:t xml:space="preserve"> </w:t>
      </w:r>
      <w:r>
        <w:rPr>
          <w:rFonts w:hint="eastAsia"/>
          <w:highlight w:val="none"/>
        </w:rPr>
        <w:t>智慧小镇2020年发展目标测算</w:t>
      </w:r>
    </w:p>
    <w:tbl>
      <w:tblPr>
        <w:tblStyle w:val="36"/>
        <w:tblW w:w="8217" w:type="dxa"/>
        <w:jc w:val="center"/>
        <w:tblInd w:w="0" w:type="dxa"/>
        <w:tblLayout w:type="fixed"/>
        <w:tblCellMar>
          <w:top w:w="0" w:type="dxa"/>
          <w:left w:w="108" w:type="dxa"/>
          <w:bottom w:w="0" w:type="dxa"/>
          <w:right w:w="108" w:type="dxa"/>
        </w:tblCellMar>
      </w:tblPr>
      <w:tblGrid>
        <w:gridCol w:w="1555"/>
        <w:gridCol w:w="2556"/>
        <w:gridCol w:w="2263"/>
        <w:gridCol w:w="1843"/>
      </w:tblGrid>
      <w:tr>
        <w:tblPrEx>
          <w:tblLayout w:type="fixed"/>
          <w:tblCellMar>
            <w:top w:w="0" w:type="dxa"/>
            <w:left w:w="108" w:type="dxa"/>
            <w:bottom w:w="0" w:type="dxa"/>
            <w:right w:w="108" w:type="dxa"/>
          </w:tblCellMar>
        </w:tblPrEx>
        <w:trPr>
          <w:trHeight w:val="810" w:hRule="atLeast"/>
          <w:jc w:val="center"/>
        </w:trPr>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202</w:t>
            </w:r>
            <w:r>
              <w:rPr>
                <w:rFonts w:hint="eastAsia" w:ascii="仿宋_GB2312" w:hAnsi="宋体" w:cs="宋体"/>
                <w:color w:val="000000"/>
                <w:kern w:val="0"/>
                <w:sz w:val="24"/>
                <w:szCs w:val="24"/>
                <w:highlight w:val="none"/>
              </w:rPr>
              <w:t>0</w:t>
            </w:r>
            <w:r>
              <w:rPr>
                <w:rFonts w:ascii="仿宋_GB2312" w:hAnsi="宋体" w:cs="宋体"/>
                <w:color w:val="000000"/>
                <w:kern w:val="0"/>
                <w:sz w:val="24"/>
                <w:szCs w:val="24"/>
                <w:highlight w:val="none"/>
              </w:rPr>
              <w:t>年目标</w:t>
            </w:r>
          </w:p>
        </w:tc>
        <w:tc>
          <w:tcPr>
            <w:tcW w:w="255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单位建筑面积营业收入（亿元</w:t>
            </w:r>
            <w:r>
              <w:rPr>
                <w:rFonts w:ascii="仿宋_GB2312" w:hAnsi="宋体" w:cs="宋体"/>
                <w:color w:val="000000"/>
                <w:kern w:val="0"/>
                <w:sz w:val="24"/>
                <w:szCs w:val="24"/>
                <w:highlight w:val="none"/>
              </w:rPr>
              <w:t>/万m</w:t>
            </w:r>
            <w:r>
              <w:rPr>
                <w:rFonts w:hint="eastAsia" w:ascii="Calibri" w:hAnsi="Calibri" w:cs="Calibri"/>
                <w:color w:val="000000"/>
                <w:kern w:val="0"/>
                <w:sz w:val="24"/>
                <w:szCs w:val="24"/>
                <w:highlight w:val="none"/>
              </w:rPr>
              <w:t>²</w:t>
            </w:r>
            <w:r>
              <w:rPr>
                <w:rFonts w:hint="eastAsia" w:ascii="仿宋_GB2312" w:hAnsi="宋体" w:cs="宋体"/>
                <w:color w:val="000000"/>
                <w:kern w:val="0"/>
                <w:sz w:val="24"/>
                <w:szCs w:val="24"/>
                <w:highlight w:val="none"/>
              </w:rPr>
              <w:t>）</w:t>
            </w:r>
          </w:p>
        </w:tc>
        <w:tc>
          <w:tcPr>
            <w:tcW w:w="226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企业年营业收入（亿元）</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土地产出率</w:t>
            </w:r>
            <w:r>
              <w:rPr>
                <w:rFonts w:ascii="仿宋_GB2312" w:hAnsi="宋体" w:cs="宋体"/>
                <w:color w:val="000000"/>
                <w:kern w:val="0"/>
                <w:sz w:val="24"/>
                <w:szCs w:val="24"/>
                <w:highlight w:val="none"/>
              </w:rPr>
              <w:t>(万元/亩）</w:t>
            </w:r>
          </w:p>
        </w:tc>
      </w:tr>
      <w:tr>
        <w:tblPrEx>
          <w:tblLayout w:type="fixed"/>
          <w:tblCellMar>
            <w:top w:w="0" w:type="dxa"/>
            <w:left w:w="108" w:type="dxa"/>
            <w:bottom w:w="0" w:type="dxa"/>
            <w:right w:w="108" w:type="dxa"/>
          </w:tblCellMar>
        </w:tblPrEx>
        <w:trPr>
          <w:trHeight w:val="27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高方案</w:t>
            </w:r>
          </w:p>
        </w:tc>
        <w:tc>
          <w:tcPr>
            <w:tcW w:w="2556" w:type="dxa"/>
            <w:tcBorders>
              <w:top w:val="nil"/>
              <w:left w:val="nil"/>
              <w:bottom w:val="single" w:color="auto" w:sz="4" w:space="0"/>
              <w:right w:val="single" w:color="auto" w:sz="4" w:space="0"/>
            </w:tcBorders>
            <w:shd w:val="clear" w:color="auto" w:fill="auto"/>
            <w:noWrap/>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1</w:t>
            </w:r>
          </w:p>
        </w:tc>
        <w:tc>
          <w:tcPr>
            <w:tcW w:w="2263" w:type="dxa"/>
            <w:tcBorders>
              <w:top w:val="nil"/>
              <w:left w:val="nil"/>
              <w:bottom w:val="single" w:color="auto" w:sz="4" w:space="0"/>
              <w:right w:val="single" w:color="auto" w:sz="4" w:space="0"/>
            </w:tcBorders>
            <w:shd w:val="clear" w:color="auto" w:fill="auto"/>
            <w:noWrap/>
            <w:vAlign w:val="center"/>
          </w:tcPr>
          <w:p>
            <w:pPr>
              <w:widowControl/>
              <w:spacing w:line="240" w:lineRule="auto"/>
              <w:jc w:val="right"/>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 xml:space="preserve">107 </w:t>
            </w:r>
          </w:p>
        </w:tc>
        <w:tc>
          <w:tcPr>
            <w:tcW w:w="1843" w:type="dxa"/>
            <w:tcBorders>
              <w:top w:val="nil"/>
              <w:left w:val="nil"/>
              <w:bottom w:val="single" w:color="auto" w:sz="4" w:space="0"/>
              <w:right w:val="single" w:color="auto" w:sz="4" w:space="0"/>
            </w:tcBorders>
            <w:shd w:val="clear" w:color="auto" w:fill="auto"/>
            <w:noWrap/>
            <w:vAlign w:val="center"/>
          </w:tcPr>
          <w:p>
            <w:pPr>
              <w:widowControl/>
              <w:spacing w:line="240" w:lineRule="auto"/>
              <w:jc w:val="right"/>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 xml:space="preserve">793.33 </w:t>
            </w:r>
          </w:p>
        </w:tc>
      </w:tr>
      <w:tr>
        <w:tblPrEx>
          <w:tblLayout w:type="fixed"/>
          <w:tblCellMar>
            <w:top w:w="0" w:type="dxa"/>
            <w:left w:w="108" w:type="dxa"/>
            <w:bottom w:w="0" w:type="dxa"/>
            <w:right w:w="108" w:type="dxa"/>
          </w:tblCellMar>
        </w:tblPrEx>
        <w:trPr>
          <w:trHeight w:val="27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中方案</w:t>
            </w:r>
          </w:p>
        </w:tc>
        <w:tc>
          <w:tcPr>
            <w:tcW w:w="2556" w:type="dxa"/>
            <w:tcBorders>
              <w:top w:val="nil"/>
              <w:left w:val="nil"/>
              <w:bottom w:val="single" w:color="auto" w:sz="4" w:space="0"/>
              <w:right w:val="single" w:color="auto" w:sz="4" w:space="0"/>
            </w:tcBorders>
            <w:shd w:val="clear" w:color="auto" w:fill="auto"/>
            <w:noWrap/>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0.</w:t>
            </w:r>
            <w:r>
              <w:rPr>
                <w:rFonts w:hint="eastAsia" w:ascii="仿宋_GB2312" w:hAnsi="宋体" w:cs="宋体"/>
                <w:color w:val="000000"/>
                <w:kern w:val="0"/>
                <w:sz w:val="24"/>
                <w:szCs w:val="24"/>
                <w:highlight w:val="none"/>
              </w:rPr>
              <w:t>75</w:t>
            </w:r>
          </w:p>
        </w:tc>
        <w:tc>
          <w:tcPr>
            <w:tcW w:w="2263" w:type="dxa"/>
            <w:tcBorders>
              <w:top w:val="nil"/>
              <w:left w:val="nil"/>
              <w:bottom w:val="single" w:color="auto" w:sz="4" w:space="0"/>
              <w:right w:val="single" w:color="auto" w:sz="4" w:space="0"/>
            </w:tcBorders>
            <w:shd w:val="clear" w:color="auto" w:fill="auto"/>
            <w:noWrap/>
          </w:tcPr>
          <w:p>
            <w:pPr>
              <w:widowControl/>
              <w:spacing w:line="240" w:lineRule="auto"/>
              <w:jc w:val="right"/>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8</w:t>
            </w:r>
            <w:r>
              <w:rPr>
                <w:rFonts w:hint="eastAsia" w:ascii="仿宋_GB2312" w:hAnsi="宋体" w:cs="宋体"/>
                <w:color w:val="000000"/>
                <w:kern w:val="0"/>
                <w:sz w:val="24"/>
                <w:szCs w:val="24"/>
                <w:highlight w:val="none"/>
              </w:rPr>
              <w:t>0</w:t>
            </w:r>
            <w:r>
              <w:rPr>
                <w:rFonts w:ascii="仿宋_GB2312" w:hAnsi="宋体" w:cs="宋体"/>
                <w:color w:val="000000"/>
                <w:kern w:val="0"/>
                <w:sz w:val="24"/>
                <w:szCs w:val="24"/>
                <w:highlight w:val="none"/>
              </w:rPr>
              <w:t xml:space="preserve"> </w:t>
            </w:r>
          </w:p>
        </w:tc>
        <w:tc>
          <w:tcPr>
            <w:tcW w:w="1843" w:type="dxa"/>
            <w:tcBorders>
              <w:top w:val="nil"/>
              <w:left w:val="nil"/>
              <w:bottom w:val="single" w:color="auto" w:sz="4" w:space="0"/>
              <w:right w:val="single" w:color="auto" w:sz="4" w:space="0"/>
            </w:tcBorders>
            <w:shd w:val="clear" w:color="auto" w:fill="auto"/>
            <w:noWrap/>
          </w:tcPr>
          <w:p>
            <w:pPr>
              <w:widowControl/>
              <w:spacing w:line="240" w:lineRule="auto"/>
              <w:jc w:val="right"/>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595.00</w:t>
            </w:r>
            <w:r>
              <w:rPr>
                <w:rFonts w:ascii="仿宋_GB2312" w:hAnsi="宋体" w:cs="宋体"/>
                <w:color w:val="000000"/>
                <w:kern w:val="0"/>
                <w:sz w:val="24"/>
                <w:szCs w:val="24"/>
                <w:highlight w:val="none"/>
              </w:rPr>
              <w:t xml:space="preserve"> </w:t>
            </w:r>
          </w:p>
        </w:tc>
      </w:tr>
      <w:tr>
        <w:tblPrEx>
          <w:tblLayout w:type="fixed"/>
          <w:tblCellMar>
            <w:top w:w="0" w:type="dxa"/>
            <w:left w:w="108" w:type="dxa"/>
            <w:bottom w:w="0" w:type="dxa"/>
            <w:right w:w="108" w:type="dxa"/>
          </w:tblCellMar>
        </w:tblPrEx>
        <w:trPr>
          <w:trHeight w:val="270" w:hRule="atLeast"/>
          <w:jc w:val="center"/>
        </w:trPr>
        <w:tc>
          <w:tcPr>
            <w:tcW w:w="1555"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低方案</w:t>
            </w:r>
          </w:p>
        </w:tc>
        <w:tc>
          <w:tcPr>
            <w:tcW w:w="2556" w:type="dxa"/>
            <w:tcBorders>
              <w:top w:val="nil"/>
              <w:left w:val="nil"/>
              <w:bottom w:val="single" w:color="auto" w:sz="4" w:space="0"/>
              <w:right w:val="single" w:color="auto" w:sz="4" w:space="0"/>
            </w:tcBorders>
            <w:shd w:val="clear" w:color="auto" w:fill="auto"/>
            <w:noWrap/>
          </w:tcPr>
          <w:p>
            <w:pPr>
              <w:widowControl/>
              <w:spacing w:line="240" w:lineRule="auto"/>
              <w:jc w:val="center"/>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0.5</w:t>
            </w:r>
          </w:p>
        </w:tc>
        <w:tc>
          <w:tcPr>
            <w:tcW w:w="2263" w:type="dxa"/>
            <w:tcBorders>
              <w:top w:val="nil"/>
              <w:left w:val="nil"/>
              <w:bottom w:val="single" w:color="auto" w:sz="4" w:space="0"/>
              <w:right w:val="single" w:color="auto" w:sz="4" w:space="0"/>
            </w:tcBorders>
            <w:shd w:val="clear" w:color="auto" w:fill="auto"/>
            <w:noWrap/>
          </w:tcPr>
          <w:p>
            <w:pPr>
              <w:widowControl/>
              <w:spacing w:line="240" w:lineRule="auto"/>
              <w:jc w:val="right"/>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 xml:space="preserve">54 </w:t>
            </w:r>
          </w:p>
        </w:tc>
        <w:tc>
          <w:tcPr>
            <w:tcW w:w="1843" w:type="dxa"/>
            <w:tcBorders>
              <w:top w:val="nil"/>
              <w:left w:val="nil"/>
              <w:bottom w:val="single" w:color="auto" w:sz="4" w:space="0"/>
              <w:right w:val="single" w:color="auto" w:sz="4" w:space="0"/>
            </w:tcBorders>
            <w:shd w:val="clear" w:color="auto" w:fill="auto"/>
            <w:noWrap/>
          </w:tcPr>
          <w:p>
            <w:pPr>
              <w:widowControl/>
              <w:spacing w:line="240" w:lineRule="auto"/>
              <w:jc w:val="right"/>
              <w:rPr>
                <w:rFonts w:ascii="仿宋_GB2312" w:hAnsi="宋体" w:cs="宋体"/>
                <w:color w:val="000000"/>
                <w:kern w:val="0"/>
                <w:sz w:val="24"/>
                <w:szCs w:val="24"/>
                <w:highlight w:val="none"/>
              </w:rPr>
            </w:pPr>
            <w:r>
              <w:rPr>
                <w:rFonts w:ascii="仿宋_GB2312" w:hAnsi="宋体" w:cs="宋体"/>
                <w:color w:val="000000"/>
                <w:kern w:val="0"/>
                <w:sz w:val="24"/>
                <w:szCs w:val="24"/>
                <w:highlight w:val="none"/>
              </w:rPr>
              <w:t xml:space="preserve">396.67 </w:t>
            </w:r>
          </w:p>
        </w:tc>
      </w:tr>
    </w:tbl>
    <w:p>
      <w:pPr>
        <w:ind w:firstLine="560" w:firstLineChars="200"/>
        <w:rPr>
          <w:highlight w:val="none"/>
        </w:rPr>
      </w:pPr>
      <w:r>
        <w:rPr>
          <w:rFonts w:hint="eastAsia"/>
          <w:highlight w:val="none"/>
        </w:rPr>
        <w:t xml:space="preserve"> 考虑到大数据产业全国增长率，智慧小镇收入目标按照年复合增长率31%测算2025年收入目标，按照22%的年复合增长率测算2030年收入目标，预计2025年突破300亿，2030年突破800亿元。</w:t>
      </w:r>
    </w:p>
    <w:p>
      <w:pPr>
        <w:ind w:firstLine="560" w:firstLineChars="200"/>
        <w:jc w:val="center"/>
        <w:rPr>
          <w:highlight w:val="none"/>
        </w:rPr>
      </w:pPr>
      <w:r>
        <w:rPr>
          <w:rFonts w:hint="eastAsia"/>
          <w:highlight w:val="none"/>
        </w:rPr>
        <w:t>表2.3</w:t>
      </w:r>
      <w:r>
        <w:rPr>
          <w:highlight w:val="none"/>
        </w:rPr>
        <w:t xml:space="preserve"> </w:t>
      </w:r>
      <w:r>
        <w:rPr>
          <w:rFonts w:hint="eastAsia"/>
          <w:highlight w:val="none"/>
        </w:rPr>
        <w:t>智慧小镇各阶段发展目标测算</w:t>
      </w:r>
    </w:p>
    <w:tbl>
      <w:tblPr>
        <w:tblStyle w:val="36"/>
        <w:tblW w:w="7740" w:type="dxa"/>
        <w:jc w:val="center"/>
        <w:tblInd w:w="0" w:type="dxa"/>
        <w:tblLayout w:type="fixed"/>
        <w:tblCellMar>
          <w:top w:w="0" w:type="dxa"/>
          <w:left w:w="108" w:type="dxa"/>
          <w:bottom w:w="0" w:type="dxa"/>
          <w:right w:w="108" w:type="dxa"/>
        </w:tblCellMar>
      </w:tblPr>
      <w:tblGrid>
        <w:gridCol w:w="2780"/>
        <w:gridCol w:w="1440"/>
        <w:gridCol w:w="1580"/>
        <w:gridCol w:w="1940"/>
      </w:tblGrid>
      <w:tr>
        <w:tblPrEx>
          <w:tblLayout w:type="fixed"/>
          <w:tblCellMar>
            <w:top w:w="0" w:type="dxa"/>
            <w:left w:w="108" w:type="dxa"/>
            <w:bottom w:w="0" w:type="dxa"/>
            <w:right w:w="108" w:type="dxa"/>
          </w:tblCellMar>
        </w:tblPrEx>
        <w:trPr>
          <w:trHeight w:val="270" w:hRule="atLeast"/>
          <w:jc w:val="center"/>
        </w:trPr>
        <w:tc>
          <w:tcPr>
            <w:tcW w:w="27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　</w:t>
            </w:r>
          </w:p>
        </w:tc>
        <w:tc>
          <w:tcPr>
            <w:tcW w:w="144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2020年</w:t>
            </w:r>
          </w:p>
        </w:tc>
        <w:tc>
          <w:tcPr>
            <w:tcW w:w="158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2025年</w:t>
            </w:r>
          </w:p>
        </w:tc>
        <w:tc>
          <w:tcPr>
            <w:tcW w:w="1940"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2030年</w:t>
            </w:r>
          </w:p>
        </w:tc>
      </w:tr>
      <w:tr>
        <w:tblPrEx>
          <w:tblLayout w:type="fixed"/>
          <w:tblCellMar>
            <w:top w:w="0" w:type="dxa"/>
            <w:left w:w="108" w:type="dxa"/>
            <w:bottom w:w="0" w:type="dxa"/>
            <w:right w:w="108" w:type="dxa"/>
          </w:tblCellMar>
        </w:tblPrEx>
        <w:trPr>
          <w:trHeight w:val="270" w:hRule="atLeast"/>
          <w:jc w:val="center"/>
        </w:trPr>
        <w:tc>
          <w:tcPr>
            <w:tcW w:w="2780"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目标（亿元）</w:t>
            </w:r>
          </w:p>
        </w:tc>
        <w:tc>
          <w:tcPr>
            <w:tcW w:w="144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80</w:t>
            </w:r>
          </w:p>
        </w:tc>
        <w:tc>
          <w:tcPr>
            <w:tcW w:w="158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 xml:space="preserve">310 </w:t>
            </w:r>
          </w:p>
        </w:tc>
        <w:tc>
          <w:tcPr>
            <w:tcW w:w="1940" w:type="dxa"/>
            <w:tcBorders>
              <w:top w:val="nil"/>
              <w:left w:val="nil"/>
              <w:bottom w:val="single" w:color="auto" w:sz="4" w:space="0"/>
              <w:right w:val="single" w:color="auto" w:sz="4" w:space="0"/>
            </w:tcBorders>
            <w:shd w:val="clear" w:color="auto" w:fill="auto"/>
            <w:noWrap/>
            <w:vAlign w:val="center"/>
          </w:tcPr>
          <w:p>
            <w:pPr>
              <w:widowControl/>
              <w:spacing w:line="240" w:lineRule="auto"/>
              <w:jc w:val="center"/>
              <w:rPr>
                <w:rFonts w:ascii="仿宋_GB2312" w:hAnsi="宋体" w:cs="宋体"/>
                <w:color w:val="000000"/>
                <w:kern w:val="0"/>
                <w:sz w:val="24"/>
                <w:szCs w:val="24"/>
                <w:highlight w:val="none"/>
              </w:rPr>
            </w:pPr>
            <w:r>
              <w:rPr>
                <w:rFonts w:hint="eastAsia" w:ascii="仿宋_GB2312" w:hAnsi="宋体" w:cs="宋体"/>
                <w:color w:val="000000"/>
                <w:kern w:val="0"/>
                <w:sz w:val="24"/>
                <w:szCs w:val="24"/>
                <w:highlight w:val="none"/>
              </w:rPr>
              <w:t xml:space="preserve">838 </w:t>
            </w:r>
          </w:p>
        </w:tc>
      </w:tr>
    </w:tbl>
    <w:p>
      <w:pPr>
        <w:pStyle w:val="4"/>
        <w:rPr>
          <w:highlight w:val="none"/>
        </w:rPr>
      </w:pPr>
      <w:bookmarkStart w:id="15" w:name="_Toc528843184"/>
      <w:r>
        <w:rPr>
          <w:rFonts w:hint="eastAsia"/>
          <w:highlight w:val="none"/>
        </w:rPr>
        <w:t>（四）发展路径</w:t>
      </w:r>
      <w:bookmarkEnd w:id="15"/>
    </w:p>
    <w:p>
      <w:pPr>
        <w:ind w:firstLine="562" w:firstLineChars="200"/>
        <w:rPr>
          <w:bCs/>
          <w:highlight w:val="none"/>
        </w:rPr>
      </w:pPr>
      <w:r>
        <w:rPr>
          <w:rFonts w:hint="eastAsia"/>
          <w:b/>
          <w:bCs/>
          <w:highlight w:val="none"/>
        </w:rPr>
        <w:t>一期：管理服务高效，城市功能完善。</w:t>
      </w:r>
      <w:r>
        <w:rPr>
          <w:rFonts w:hint="eastAsia"/>
          <w:bCs/>
          <w:highlight w:val="none"/>
        </w:rPr>
        <w:t>“云上宜春”建设稳步推进，智慧服务基地建成投产；云数据中心、呼叫中心、采集中心等数据资源中心基本建成；电商大数据、物流大数据及旅游大数据产业引入初见成效，带动传统产业提质增效。到2020年底，基础设施建设完善，数据资源集聚效应初显，新兴产业发展初具规模，产业支撑平台基本建成，引进培育大数据企业超过80家，带动就业超过8000人，入驻企业年营业收入突破80亿元。</w:t>
      </w:r>
    </w:p>
    <w:p>
      <w:pPr>
        <w:ind w:firstLine="562" w:firstLineChars="200"/>
        <w:rPr>
          <w:bCs/>
          <w:highlight w:val="none"/>
        </w:rPr>
      </w:pPr>
      <w:r>
        <w:rPr>
          <w:rFonts w:hint="eastAsia"/>
          <w:b/>
          <w:bCs/>
          <w:highlight w:val="none"/>
        </w:rPr>
        <w:t>二期：赣西区域领先，产业特色鲜明。</w:t>
      </w:r>
      <w:r>
        <w:rPr>
          <w:rFonts w:hint="eastAsia"/>
          <w:bCs/>
          <w:highlight w:val="none"/>
        </w:rPr>
        <w:t>电商大数据、物流大数据、旅游大数据等领域形成成熟的商业模式；工业互联网和数字文娱产业创新取得突破，助力宜春发展动能转换；人工智能和区块链应用研发取得突破。到2025年底，数据资源集聚效应凸显，以数字文娱和人工智能为特色的智慧经济产业规模稳步增长，大数据企业累计达到100-200家，引进培育2家上十亿骨干企业，带动就业超过2万人，入驻企业年营业收入突破300亿元。</w:t>
      </w:r>
    </w:p>
    <w:p>
      <w:pPr>
        <w:ind w:firstLine="562" w:firstLineChars="200"/>
        <w:rPr>
          <w:bCs/>
          <w:highlight w:val="none"/>
        </w:rPr>
      </w:pPr>
      <w:r>
        <w:rPr>
          <w:rFonts w:hint="eastAsia"/>
          <w:b/>
          <w:bCs/>
          <w:highlight w:val="none"/>
        </w:rPr>
        <w:t>三期：高端要素集聚，创新创业活跃。</w:t>
      </w:r>
      <w:r>
        <w:rPr>
          <w:rFonts w:hint="eastAsia"/>
          <w:bCs/>
          <w:highlight w:val="none"/>
        </w:rPr>
        <w:t>在工业互联网、人工智能等领域突破一批关键技术，打造一批应用广泛的高科技技术产品，走出江西，走向全国；数字文娱产业集聚效应凸显，打造具有自主IP的文创产品输出地。到2030年底，人工智能和区块链应用研发向产业转化效果显著，人工智能和数字文娱成为智慧小镇发展的主要引擎，引进培育2家上百亿骨干企业，带动就业超过5万人，入驻企业年营业收入突破800亿元。</w:t>
      </w:r>
    </w:p>
    <w:p>
      <w:pPr>
        <w:jc w:val="center"/>
        <w:rPr>
          <w:bCs/>
          <w:highlight w:val="none"/>
        </w:rPr>
      </w:pPr>
      <w:r>
        <w:rPr>
          <w:highlight w:val="none"/>
        </w:rPr>
        <w:drawing>
          <wp:inline distT="0" distB="0" distL="0" distR="0">
            <wp:extent cx="5274310" cy="315087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74310" cy="3150870"/>
                    </a:xfrm>
                    <a:prstGeom prst="rect">
                      <a:avLst/>
                    </a:prstGeom>
                    <a:noFill/>
                    <a:ln>
                      <a:noFill/>
                    </a:ln>
                  </pic:spPr>
                </pic:pic>
              </a:graphicData>
            </a:graphic>
          </wp:inline>
        </w:drawing>
      </w:r>
    </w:p>
    <w:p>
      <w:pPr>
        <w:jc w:val="center"/>
        <w:rPr>
          <w:bCs/>
          <w:highlight w:val="none"/>
        </w:rPr>
      </w:pPr>
      <w:r>
        <w:rPr>
          <w:rFonts w:hint="eastAsia"/>
          <w:highlight w:val="none"/>
        </w:rPr>
        <w:t>图2-2</w:t>
      </w:r>
      <w:r>
        <w:rPr>
          <w:highlight w:val="none"/>
        </w:rPr>
        <w:t xml:space="preserve"> </w:t>
      </w:r>
      <w:r>
        <w:rPr>
          <w:rFonts w:hint="eastAsia"/>
          <w:highlight w:val="none"/>
        </w:rPr>
        <w:t>智慧小镇产业布局</w:t>
      </w:r>
    </w:p>
    <w:bookmarkEnd w:id="11"/>
    <w:p>
      <w:pPr>
        <w:pStyle w:val="3"/>
        <w:rPr>
          <w:highlight w:val="none"/>
        </w:rPr>
      </w:pPr>
      <w:bookmarkStart w:id="16" w:name="_Toc508890100"/>
      <w:bookmarkEnd w:id="16"/>
      <w:bookmarkStart w:id="17" w:name="_Toc508889601"/>
      <w:bookmarkEnd w:id="17"/>
      <w:bookmarkStart w:id="18" w:name="_Toc508889851"/>
      <w:bookmarkEnd w:id="18"/>
      <w:bookmarkStart w:id="19" w:name="_Toc508890101"/>
      <w:bookmarkEnd w:id="19"/>
      <w:bookmarkStart w:id="20" w:name="_Toc508889602"/>
      <w:bookmarkEnd w:id="20"/>
      <w:bookmarkStart w:id="21" w:name="_Toc508889852"/>
      <w:bookmarkEnd w:id="21"/>
      <w:bookmarkStart w:id="22" w:name="_Toc508890102"/>
      <w:bookmarkEnd w:id="22"/>
      <w:bookmarkStart w:id="23" w:name="_Toc508889603"/>
      <w:bookmarkEnd w:id="23"/>
      <w:bookmarkStart w:id="24" w:name="_Toc508889853"/>
      <w:bookmarkEnd w:id="24"/>
      <w:bookmarkStart w:id="25" w:name="_Toc508890103"/>
      <w:bookmarkEnd w:id="25"/>
      <w:bookmarkStart w:id="26" w:name="_Toc508889604"/>
      <w:bookmarkEnd w:id="26"/>
      <w:bookmarkStart w:id="27" w:name="_Toc508889854"/>
      <w:bookmarkEnd w:id="27"/>
      <w:bookmarkStart w:id="28" w:name="_Toc508890104"/>
      <w:bookmarkEnd w:id="28"/>
      <w:bookmarkStart w:id="29" w:name="_Toc508889605"/>
      <w:bookmarkEnd w:id="29"/>
      <w:bookmarkStart w:id="30" w:name="_Toc508889855"/>
      <w:bookmarkEnd w:id="30"/>
      <w:bookmarkStart w:id="31" w:name="_Toc508890105"/>
      <w:bookmarkEnd w:id="31"/>
      <w:bookmarkStart w:id="32" w:name="_Toc508889606"/>
      <w:bookmarkEnd w:id="32"/>
      <w:bookmarkStart w:id="33" w:name="_Toc508889856"/>
      <w:bookmarkEnd w:id="33"/>
      <w:bookmarkStart w:id="34" w:name="_Toc508890106"/>
      <w:bookmarkEnd w:id="34"/>
      <w:bookmarkStart w:id="35" w:name="_Toc508889607"/>
      <w:bookmarkEnd w:id="35"/>
      <w:bookmarkStart w:id="36" w:name="_Toc508889857"/>
      <w:bookmarkEnd w:id="36"/>
      <w:bookmarkStart w:id="37" w:name="_Toc508890107"/>
      <w:bookmarkEnd w:id="37"/>
      <w:bookmarkStart w:id="38" w:name="_Toc508889608"/>
      <w:bookmarkEnd w:id="38"/>
      <w:bookmarkStart w:id="39" w:name="_Toc508889858"/>
      <w:bookmarkEnd w:id="39"/>
      <w:bookmarkStart w:id="40" w:name="_Toc508890108"/>
      <w:bookmarkEnd w:id="40"/>
      <w:bookmarkStart w:id="41" w:name="_Toc508889609"/>
      <w:bookmarkEnd w:id="41"/>
      <w:bookmarkStart w:id="42" w:name="_Toc508889859"/>
      <w:bookmarkEnd w:id="42"/>
      <w:bookmarkStart w:id="43" w:name="_Toc508890109"/>
      <w:bookmarkEnd w:id="43"/>
      <w:bookmarkStart w:id="44" w:name="_Toc508889610"/>
      <w:bookmarkEnd w:id="44"/>
      <w:bookmarkStart w:id="45" w:name="_Toc508889860"/>
      <w:bookmarkEnd w:id="45"/>
      <w:bookmarkStart w:id="46" w:name="_Toc508890110"/>
      <w:bookmarkEnd w:id="46"/>
      <w:bookmarkStart w:id="47" w:name="_Toc508889613"/>
      <w:bookmarkEnd w:id="47"/>
      <w:bookmarkStart w:id="48" w:name="_Toc508889863"/>
      <w:bookmarkEnd w:id="48"/>
      <w:bookmarkStart w:id="49" w:name="_Toc508890113"/>
      <w:bookmarkEnd w:id="49"/>
      <w:bookmarkStart w:id="50" w:name="_Toc508889614"/>
      <w:bookmarkEnd w:id="50"/>
      <w:bookmarkStart w:id="51" w:name="_Toc508889864"/>
      <w:bookmarkEnd w:id="51"/>
      <w:bookmarkStart w:id="52" w:name="_Toc508890114"/>
      <w:bookmarkEnd w:id="52"/>
      <w:bookmarkStart w:id="53" w:name="_Toc508889615"/>
      <w:bookmarkEnd w:id="53"/>
      <w:bookmarkStart w:id="54" w:name="_Toc508889865"/>
      <w:bookmarkEnd w:id="54"/>
      <w:bookmarkStart w:id="55" w:name="_Toc508890115"/>
      <w:bookmarkEnd w:id="55"/>
      <w:bookmarkStart w:id="56" w:name="_Toc508889616"/>
      <w:bookmarkEnd w:id="56"/>
      <w:bookmarkStart w:id="57" w:name="_Toc508889866"/>
      <w:bookmarkEnd w:id="57"/>
      <w:bookmarkStart w:id="58" w:name="_Toc508890116"/>
      <w:bookmarkEnd w:id="58"/>
      <w:bookmarkStart w:id="59" w:name="_Toc508889617"/>
      <w:bookmarkEnd w:id="59"/>
      <w:bookmarkStart w:id="60" w:name="_Toc508889867"/>
      <w:bookmarkEnd w:id="60"/>
      <w:bookmarkStart w:id="61" w:name="_Toc508890117"/>
      <w:bookmarkEnd w:id="61"/>
      <w:bookmarkStart w:id="62" w:name="_Toc508889618"/>
      <w:bookmarkEnd w:id="62"/>
      <w:bookmarkStart w:id="63" w:name="_Toc508889868"/>
      <w:bookmarkEnd w:id="63"/>
      <w:bookmarkStart w:id="64" w:name="_Toc508890118"/>
      <w:bookmarkEnd w:id="64"/>
      <w:bookmarkStart w:id="65" w:name="_Toc508889627"/>
      <w:bookmarkEnd w:id="65"/>
      <w:bookmarkStart w:id="66" w:name="_Toc508889877"/>
      <w:bookmarkEnd w:id="66"/>
      <w:bookmarkStart w:id="67" w:name="_Toc508890127"/>
      <w:bookmarkEnd w:id="67"/>
      <w:bookmarkStart w:id="68" w:name="_Toc508889631"/>
      <w:bookmarkEnd w:id="68"/>
      <w:bookmarkStart w:id="69" w:name="_Toc508889881"/>
      <w:bookmarkEnd w:id="69"/>
      <w:bookmarkStart w:id="70" w:name="_Toc508890131"/>
      <w:bookmarkEnd w:id="70"/>
      <w:bookmarkStart w:id="71" w:name="_Toc508889635"/>
      <w:bookmarkEnd w:id="71"/>
      <w:bookmarkStart w:id="72" w:name="_Toc508889885"/>
      <w:bookmarkEnd w:id="72"/>
      <w:bookmarkStart w:id="73" w:name="_Toc508890135"/>
      <w:bookmarkEnd w:id="73"/>
      <w:bookmarkStart w:id="74" w:name="_Toc508889643"/>
      <w:bookmarkEnd w:id="74"/>
      <w:bookmarkStart w:id="75" w:name="_Toc508889893"/>
      <w:bookmarkEnd w:id="75"/>
      <w:bookmarkStart w:id="76" w:name="_Toc508890143"/>
      <w:bookmarkEnd w:id="76"/>
      <w:bookmarkStart w:id="77" w:name="_Toc508889647"/>
      <w:bookmarkEnd w:id="77"/>
      <w:bookmarkStart w:id="78" w:name="_Toc508889897"/>
      <w:bookmarkEnd w:id="78"/>
      <w:bookmarkStart w:id="79" w:name="_Toc508890147"/>
      <w:bookmarkEnd w:id="79"/>
      <w:bookmarkStart w:id="80" w:name="_Toc508889651"/>
      <w:bookmarkEnd w:id="80"/>
      <w:bookmarkStart w:id="81" w:name="_Toc508889901"/>
      <w:bookmarkEnd w:id="81"/>
      <w:bookmarkStart w:id="82" w:name="_Toc508890151"/>
      <w:bookmarkEnd w:id="82"/>
      <w:bookmarkStart w:id="83" w:name="_Toc508889655"/>
      <w:bookmarkEnd w:id="83"/>
      <w:bookmarkStart w:id="84" w:name="_Toc508889905"/>
      <w:bookmarkEnd w:id="84"/>
      <w:bookmarkStart w:id="85" w:name="_Toc508890155"/>
      <w:bookmarkEnd w:id="85"/>
      <w:bookmarkStart w:id="86" w:name="_Toc508889656"/>
      <w:bookmarkEnd w:id="86"/>
      <w:bookmarkStart w:id="87" w:name="_Toc508889906"/>
      <w:bookmarkEnd w:id="87"/>
      <w:bookmarkStart w:id="88" w:name="_Toc508890156"/>
      <w:bookmarkEnd w:id="88"/>
      <w:bookmarkStart w:id="89" w:name="_Toc508889657"/>
      <w:bookmarkEnd w:id="89"/>
      <w:bookmarkStart w:id="90" w:name="_Toc508889907"/>
      <w:bookmarkEnd w:id="90"/>
      <w:bookmarkStart w:id="91" w:name="_Toc508890157"/>
      <w:bookmarkEnd w:id="91"/>
      <w:bookmarkStart w:id="92" w:name="_Toc508889658"/>
      <w:bookmarkEnd w:id="92"/>
      <w:bookmarkStart w:id="93" w:name="_Toc508889908"/>
      <w:bookmarkEnd w:id="93"/>
      <w:bookmarkStart w:id="94" w:name="_Toc508890158"/>
      <w:bookmarkEnd w:id="94"/>
      <w:bookmarkStart w:id="95" w:name="_Toc508889659"/>
      <w:bookmarkEnd w:id="95"/>
      <w:bookmarkStart w:id="96" w:name="_Toc508889909"/>
      <w:bookmarkEnd w:id="96"/>
      <w:bookmarkStart w:id="97" w:name="_Toc508890159"/>
      <w:bookmarkEnd w:id="97"/>
      <w:bookmarkStart w:id="98" w:name="_Toc508889660"/>
      <w:bookmarkEnd w:id="98"/>
      <w:bookmarkStart w:id="99" w:name="_Toc508889910"/>
      <w:bookmarkEnd w:id="99"/>
      <w:bookmarkStart w:id="100" w:name="_Toc508890160"/>
      <w:bookmarkEnd w:id="100"/>
      <w:bookmarkStart w:id="101" w:name="_Toc508889661"/>
      <w:bookmarkEnd w:id="101"/>
      <w:bookmarkStart w:id="102" w:name="_Toc508889911"/>
      <w:bookmarkEnd w:id="102"/>
      <w:bookmarkStart w:id="103" w:name="_Toc508890161"/>
      <w:bookmarkEnd w:id="103"/>
      <w:bookmarkStart w:id="104" w:name="_Toc508889662"/>
      <w:bookmarkEnd w:id="104"/>
      <w:bookmarkStart w:id="105" w:name="_Toc508889912"/>
      <w:bookmarkEnd w:id="105"/>
      <w:bookmarkStart w:id="106" w:name="_Toc508890162"/>
      <w:bookmarkEnd w:id="106"/>
      <w:bookmarkStart w:id="107" w:name="_Toc508889663"/>
      <w:bookmarkEnd w:id="107"/>
      <w:bookmarkStart w:id="108" w:name="_Toc508889913"/>
      <w:bookmarkEnd w:id="108"/>
      <w:bookmarkStart w:id="109" w:name="_Toc508890163"/>
      <w:bookmarkEnd w:id="109"/>
      <w:bookmarkStart w:id="110" w:name="_Toc508889666"/>
      <w:bookmarkEnd w:id="110"/>
      <w:bookmarkStart w:id="111" w:name="_Toc508889916"/>
      <w:bookmarkEnd w:id="111"/>
      <w:bookmarkStart w:id="112" w:name="_Toc508890166"/>
      <w:bookmarkEnd w:id="112"/>
      <w:bookmarkStart w:id="113" w:name="_Toc508889667"/>
      <w:bookmarkEnd w:id="113"/>
      <w:bookmarkStart w:id="114" w:name="_Toc508889917"/>
      <w:bookmarkEnd w:id="114"/>
      <w:bookmarkStart w:id="115" w:name="_Toc508890167"/>
      <w:bookmarkEnd w:id="115"/>
      <w:bookmarkStart w:id="116" w:name="_Toc508889668"/>
      <w:bookmarkEnd w:id="116"/>
      <w:bookmarkStart w:id="117" w:name="_Toc508889918"/>
      <w:bookmarkEnd w:id="117"/>
      <w:bookmarkStart w:id="118" w:name="_Toc508890168"/>
      <w:bookmarkEnd w:id="118"/>
      <w:bookmarkStart w:id="119" w:name="_Toc508889669"/>
      <w:bookmarkEnd w:id="119"/>
      <w:bookmarkStart w:id="120" w:name="_Toc508889919"/>
      <w:bookmarkEnd w:id="120"/>
      <w:bookmarkStart w:id="121" w:name="_Toc508890169"/>
      <w:bookmarkEnd w:id="121"/>
      <w:bookmarkStart w:id="122" w:name="_Toc508889670"/>
      <w:bookmarkEnd w:id="122"/>
      <w:bookmarkStart w:id="123" w:name="_Toc508889920"/>
      <w:bookmarkEnd w:id="123"/>
      <w:bookmarkStart w:id="124" w:name="_Toc508890170"/>
      <w:bookmarkEnd w:id="124"/>
      <w:bookmarkStart w:id="125" w:name="_Toc508889671"/>
      <w:bookmarkEnd w:id="125"/>
      <w:bookmarkStart w:id="126" w:name="_Toc508889921"/>
      <w:bookmarkEnd w:id="126"/>
      <w:bookmarkStart w:id="127" w:name="_Toc508890171"/>
      <w:bookmarkEnd w:id="127"/>
      <w:bookmarkStart w:id="128" w:name="_Toc508889672"/>
      <w:bookmarkEnd w:id="128"/>
      <w:bookmarkStart w:id="129" w:name="_Toc508889922"/>
      <w:bookmarkEnd w:id="129"/>
      <w:bookmarkStart w:id="130" w:name="_Toc508890172"/>
      <w:bookmarkEnd w:id="130"/>
      <w:bookmarkStart w:id="131" w:name="_Toc508889681"/>
      <w:bookmarkEnd w:id="131"/>
      <w:bookmarkStart w:id="132" w:name="_Toc508889931"/>
      <w:bookmarkEnd w:id="132"/>
      <w:bookmarkStart w:id="133" w:name="_Toc508890181"/>
      <w:bookmarkEnd w:id="133"/>
      <w:bookmarkStart w:id="134" w:name="_Toc508889685"/>
      <w:bookmarkEnd w:id="134"/>
      <w:bookmarkStart w:id="135" w:name="_Toc508889935"/>
      <w:bookmarkEnd w:id="135"/>
      <w:bookmarkStart w:id="136" w:name="_Toc508890185"/>
      <w:bookmarkEnd w:id="136"/>
      <w:bookmarkStart w:id="137" w:name="_Toc508889689"/>
      <w:bookmarkEnd w:id="137"/>
      <w:bookmarkStart w:id="138" w:name="_Toc508889939"/>
      <w:bookmarkEnd w:id="138"/>
      <w:bookmarkStart w:id="139" w:name="_Toc508890189"/>
      <w:bookmarkEnd w:id="139"/>
      <w:bookmarkStart w:id="140" w:name="_Toc508889693"/>
      <w:bookmarkEnd w:id="140"/>
      <w:bookmarkStart w:id="141" w:name="_Toc508889943"/>
      <w:bookmarkEnd w:id="141"/>
      <w:bookmarkStart w:id="142" w:name="_Toc508890193"/>
      <w:bookmarkEnd w:id="142"/>
      <w:bookmarkStart w:id="143" w:name="_Toc508889694"/>
      <w:bookmarkEnd w:id="143"/>
      <w:bookmarkStart w:id="144" w:name="_Toc508889944"/>
      <w:bookmarkEnd w:id="144"/>
      <w:bookmarkStart w:id="145" w:name="_Toc508890194"/>
      <w:bookmarkEnd w:id="145"/>
      <w:bookmarkStart w:id="146" w:name="_Toc508889695"/>
      <w:bookmarkEnd w:id="146"/>
      <w:bookmarkStart w:id="147" w:name="_Toc508889945"/>
      <w:bookmarkEnd w:id="147"/>
      <w:bookmarkStart w:id="148" w:name="_Toc508890195"/>
      <w:bookmarkEnd w:id="148"/>
      <w:bookmarkStart w:id="149" w:name="_Toc508889696"/>
      <w:bookmarkEnd w:id="149"/>
      <w:bookmarkStart w:id="150" w:name="_Toc508889946"/>
      <w:bookmarkEnd w:id="150"/>
      <w:bookmarkStart w:id="151" w:name="_Toc508890196"/>
      <w:bookmarkEnd w:id="151"/>
      <w:bookmarkStart w:id="152" w:name="_Toc508889697"/>
      <w:bookmarkEnd w:id="152"/>
      <w:bookmarkStart w:id="153" w:name="_Toc508889947"/>
      <w:bookmarkEnd w:id="153"/>
      <w:bookmarkStart w:id="154" w:name="_Toc508890197"/>
      <w:bookmarkEnd w:id="154"/>
      <w:bookmarkStart w:id="155" w:name="_Toc508889698"/>
      <w:bookmarkEnd w:id="155"/>
      <w:bookmarkStart w:id="156" w:name="_Toc508889948"/>
      <w:bookmarkEnd w:id="156"/>
      <w:bookmarkStart w:id="157" w:name="_Toc508890198"/>
      <w:bookmarkEnd w:id="157"/>
      <w:bookmarkStart w:id="158" w:name="_Toc508889699"/>
      <w:bookmarkEnd w:id="158"/>
      <w:bookmarkStart w:id="159" w:name="_Toc508889949"/>
      <w:bookmarkEnd w:id="159"/>
      <w:bookmarkStart w:id="160" w:name="_Toc508890199"/>
      <w:bookmarkEnd w:id="160"/>
      <w:bookmarkStart w:id="161" w:name="_Toc508889700"/>
      <w:bookmarkEnd w:id="161"/>
      <w:bookmarkStart w:id="162" w:name="_Toc508889950"/>
      <w:bookmarkEnd w:id="162"/>
      <w:bookmarkStart w:id="163" w:name="_Toc508890200"/>
      <w:bookmarkEnd w:id="163"/>
      <w:bookmarkStart w:id="164" w:name="_Toc508889701"/>
      <w:bookmarkEnd w:id="164"/>
      <w:bookmarkStart w:id="165" w:name="_Toc508889951"/>
      <w:bookmarkEnd w:id="165"/>
      <w:bookmarkStart w:id="166" w:name="_Toc508890201"/>
      <w:bookmarkEnd w:id="166"/>
      <w:bookmarkStart w:id="167" w:name="_Toc508889704"/>
      <w:bookmarkEnd w:id="167"/>
      <w:bookmarkStart w:id="168" w:name="_Toc508889954"/>
      <w:bookmarkEnd w:id="168"/>
      <w:bookmarkStart w:id="169" w:name="_Toc508890204"/>
      <w:bookmarkEnd w:id="169"/>
      <w:bookmarkStart w:id="170" w:name="_Toc508889705"/>
      <w:bookmarkEnd w:id="170"/>
      <w:bookmarkStart w:id="171" w:name="_Toc508889955"/>
      <w:bookmarkEnd w:id="171"/>
      <w:bookmarkStart w:id="172" w:name="_Toc508890205"/>
      <w:bookmarkEnd w:id="172"/>
      <w:bookmarkStart w:id="173" w:name="_Toc508889706"/>
      <w:bookmarkEnd w:id="173"/>
      <w:bookmarkStart w:id="174" w:name="_Toc508889956"/>
      <w:bookmarkEnd w:id="174"/>
      <w:bookmarkStart w:id="175" w:name="_Toc508890206"/>
      <w:bookmarkEnd w:id="175"/>
      <w:bookmarkStart w:id="176" w:name="_Toc508889707"/>
      <w:bookmarkEnd w:id="176"/>
      <w:bookmarkStart w:id="177" w:name="_Toc508889957"/>
      <w:bookmarkEnd w:id="177"/>
      <w:bookmarkStart w:id="178" w:name="_Toc508890207"/>
      <w:bookmarkEnd w:id="178"/>
      <w:bookmarkStart w:id="179" w:name="_Toc508889708"/>
      <w:bookmarkEnd w:id="179"/>
      <w:bookmarkStart w:id="180" w:name="_Toc508889958"/>
      <w:bookmarkEnd w:id="180"/>
      <w:bookmarkStart w:id="181" w:name="_Toc508890208"/>
      <w:bookmarkEnd w:id="181"/>
      <w:bookmarkStart w:id="182" w:name="_Toc508889709"/>
      <w:bookmarkEnd w:id="182"/>
      <w:bookmarkStart w:id="183" w:name="_Toc508889959"/>
      <w:bookmarkEnd w:id="183"/>
      <w:bookmarkStart w:id="184" w:name="_Toc508890209"/>
      <w:bookmarkEnd w:id="184"/>
      <w:bookmarkStart w:id="185" w:name="_Toc508889714"/>
      <w:bookmarkEnd w:id="185"/>
      <w:bookmarkStart w:id="186" w:name="_Toc508889964"/>
      <w:bookmarkEnd w:id="186"/>
      <w:bookmarkStart w:id="187" w:name="_Toc508890214"/>
      <w:bookmarkEnd w:id="187"/>
      <w:bookmarkStart w:id="188" w:name="_Toc508889720"/>
      <w:bookmarkEnd w:id="188"/>
      <w:bookmarkStart w:id="189" w:name="_Toc508889970"/>
      <w:bookmarkEnd w:id="189"/>
      <w:bookmarkStart w:id="190" w:name="_Toc508890220"/>
      <w:bookmarkEnd w:id="190"/>
      <w:bookmarkStart w:id="191" w:name="_Toc508889724"/>
      <w:bookmarkEnd w:id="191"/>
      <w:bookmarkStart w:id="192" w:name="_Toc508889974"/>
      <w:bookmarkEnd w:id="192"/>
      <w:bookmarkStart w:id="193" w:name="_Toc508890224"/>
      <w:bookmarkEnd w:id="193"/>
      <w:bookmarkStart w:id="194" w:name="_Toc508889728"/>
      <w:bookmarkEnd w:id="194"/>
      <w:bookmarkStart w:id="195" w:name="_Toc508889978"/>
      <w:bookmarkEnd w:id="195"/>
      <w:bookmarkStart w:id="196" w:name="_Toc508890228"/>
      <w:bookmarkEnd w:id="196"/>
      <w:bookmarkStart w:id="197" w:name="_Toc508889732"/>
      <w:bookmarkEnd w:id="197"/>
      <w:bookmarkStart w:id="198" w:name="_Toc508889982"/>
      <w:bookmarkEnd w:id="198"/>
      <w:bookmarkStart w:id="199" w:name="_Toc508890232"/>
      <w:bookmarkEnd w:id="199"/>
      <w:bookmarkStart w:id="200" w:name="_Toc508889736"/>
      <w:bookmarkEnd w:id="200"/>
      <w:bookmarkStart w:id="201" w:name="_Toc508889986"/>
      <w:bookmarkEnd w:id="201"/>
      <w:bookmarkStart w:id="202" w:name="_Toc508890236"/>
      <w:bookmarkEnd w:id="202"/>
      <w:bookmarkStart w:id="203" w:name="_Toc508889737"/>
      <w:bookmarkEnd w:id="203"/>
      <w:bookmarkStart w:id="204" w:name="_Toc508889987"/>
      <w:bookmarkEnd w:id="204"/>
      <w:bookmarkStart w:id="205" w:name="_Toc508890237"/>
      <w:bookmarkEnd w:id="205"/>
      <w:bookmarkStart w:id="206" w:name="_Toc508889738"/>
      <w:bookmarkEnd w:id="206"/>
      <w:bookmarkStart w:id="207" w:name="_Toc508889988"/>
      <w:bookmarkEnd w:id="207"/>
      <w:bookmarkStart w:id="208" w:name="_Toc508890238"/>
      <w:bookmarkEnd w:id="208"/>
      <w:bookmarkStart w:id="209" w:name="_Toc508889739"/>
      <w:bookmarkEnd w:id="209"/>
      <w:bookmarkStart w:id="210" w:name="_Toc508889989"/>
      <w:bookmarkEnd w:id="210"/>
      <w:bookmarkStart w:id="211" w:name="_Toc508890239"/>
      <w:bookmarkEnd w:id="211"/>
      <w:bookmarkStart w:id="212" w:name="_Toc508889740"/>
      <w:bookmarkEnd w:id="212"/>
      <w:bookmarkStart w:id="213" w:name="_Toc508889990"/>
      <w:bookmarkEnd w:id="213"/>
      <w:bookmarkStart w:id="214" w:name="_Toc508890240"/>
      <w:bookmarkEnd w:id="214"/>
      <w:bookmarkStart w:id="215" w:name="_Toc508889741"/>
      <w:bookmarkEnd w:id="215"/>
      <w:bookmarkStart w:id="216" w:name="_Toc508889991"/>
      <w:bookmarkEnd w:id="216"/>
      <w:bookmarkStart w:id="217" w:name="_Toc508890241"/>
      <w:bookmarkEnd w:id="217"/>
      <w:bookmarkStart w:id="218" w:name="_Toc508889742"/>
      <w:bookmarkEnd w:id="218"/>
      <w:bookmarkStart w:id="219" w:name="_Toc508889992"/>
      <w:bookmarkEnd w:id="219"/>
      <w:bookmarkStart w:id="220" w:name="_Toc508890242"/>
      <w:bookmarkEnd w:id="220"/>
      <w:bookmarkStart w:id="221" w:name="_Toc508889743"/>
      <w:bookmarkEnd w:id="221"/>
      <w:bookmarkStart w:id="222" w:name="_Toc508889993"/>
      <w:bookmarkEnd w:id="222"/>
      <w:bookmarkStart w:id="223" w:name="_Toc508890243"/>
      <w:bookmarkEnd w:id="223"/>
      <w:bookmarkStart w:id="224" w:name="_Toc508889744"/>
      <w:bookmarkEnd w:id="224"/>
      <w:bookmarkStart w:id="225" w:name="_Toc508889994"/>
      <w:bookmarkEnd w:id="225"/>
      <w:bookmarkStart w:id="226" w:name="_Toc508890244"/>
      <w:bookmarkEnd w:id="226"/>
      <w:bookmarkStart w:id="227" w:name="_Toc508889747"/>
      <w:bookmarkEnd w:id="227"/>
      <w:bookmarkStart w:id="228" w:name="_Toc508889997"/>
      <w:bookmarkEnd w:id="228"/>
      <w:bookmarkStart w:id="229" w:name="_Toc508890247"/>
      <w:bookmarkEnd w:id="229"/>
      <w:bookmarkStart w:id="230" w:name="_Toc508889748"/>
      <w:bookmarkEnd w:id="230"/>
      <w:bookmarkStart w:id="231" w:name="_Toc508889998"/>
      <w:bookmarkEnd w:id="231"/>
      <w:bookmarkStart w:id="232" w:name="_Toc508890248"/>
      <w:bookmarkEnd w:id="232"/>
      <w:bookmarkStart w:id="233" w:name="_Toc508889749"/>
      <w:bookmarkEnd w:id="233"/>
      <w:bookmarkStart w:id="234" w:name="_Toc508889999"/>
      <w:bookmarkEnd w:id="234"/>
      <w:bookmarkStart w:id="235" w:name="_Toc508890249"/>
      <w:bookmarkEnd w:id="235"/>
      <w:bookmarkStart w:id="236" w:name="_Toc508889750"/>
      <w:bookmarkEnd w:id="236"/>
      <w:bookmarkStart w:id="237" w:name="_Toc508890000"/>
      <w:bookmarkEnd w:id="237"/>
      <w:bookmarkStart w:id="238" w:name="_Toc508890250"/>
      <w:bookmarkEnd w:id="238"/>
      <w:bookmarkStart w:id="239" w:name="_Toc508889751"/>
      <w:bookmarkEnd w:id="239"/>
      <w:bookmarkStart w:id="240" w:name="_Toc508890001"/>
      <w:bookmarkEnd w:id="240"/>
      <w:bookmarkStart w:id="241" w:name="_Toc508890251"/>
      <w:bookmarkEnd w:id="241"/>
      <w:bookmarkStart w:id="242" w:name="_Toc508889752"/>
      <w:bookmarkEnd w:id="242"/>
      <w:bookmarkStart w:id="243" w:name="_Toc508890002"/>
      <w:bookmarkEnd w:id="243"/>
      <w:bookmarkStart w:id="244" w:name="_Toc508890252"/>
      <w:bookmarkEnd w:id="244"/>
      <w:bookmarkStart w:id="245" w:name="_Toc508889761"/>
      <w:bookmarkEnd w:id="245"/>
      <w:bookmarkStart w:id="246" w:name="_Toc508890011"/>
      <w:bookmarkEnd w:id="246"/>
      <w:bookmarkStart w:id="247" w:name="_Toc508890261"/>
      <w:bookmarkEnd w:id="247"/>
      <w:bookmarkStart w:id="248" w:name="_Toc508889765"/>
      <w:bookmarkEnd w:id="248"/>
      <w:bookmarkStart w:id="249" w:name="_Toc508890015"/>
      <w:bookmarkEnd w:id="249"/>
      <w:bookmarkStart w:id="250" w:name="_Toc508890265"/>
      <w:bookmarkEnd w:id="250"/>
      <w:bookmarkStart w:id="251" w:name="_Toc508889773"/>
      <w:bookmarkEnd w:id="251"/>
      <w:bookmarkStart w:id="252" w:name="_Toc508890023"/>
      <w:bookmarkEnd w:id="252"/>
      <w:bookmarkStart w:id="253" w:name="_Toc508890273"/>
      <w:bookmarkEnd w:id="253"/>
      <w:bookmarkStart w:id="254" w:name="_Toc508889777"/>
      <w:bookmarkEnd w:id="254"/>
      <w:bookmarkStart w:id="255" w:name="_Toc508890027"/>
      <w:bookmarkEnd w:id="255"/>
      <w:bookmarkStart w:id="256" w:name="_Toc508890277"/>
      <w:bookmarkEnd w:id="256"/>
      <w:bookmarkStart w:id="257" w:name="_Toc508889785"/>
      <w:bookmarkEnd w:id="257"/>
      <w:bookmarkStart w:id="258" w:name="_Toc508890035"/>
      <w:bookmarkEnd w:id="258"/>
      <w:bookmarkStart w:id="259" w:name="_Toc508890285"/>
      <w:bookmarkEnd w:id="259"/>
      <w:bookmarkStart w:id="260" w:name="_Toc508889786"/>
      <w:bookmarkEnd w:id="260"/>
      <w:bookmarkStart w:id="261" w:name="_Toc508890036"/>
      <w:bookmarkEnd w:id="261"/>
      <w:bookmarkStart w:id="262" w:name="_Toc508890286"/>
      <w:bookmarkEnd w:id="262"/>
      <w:bookmarkStart w:id="263" w:name="_Toc508889787"/>
      <w:bookmarkEnd w:id="263"/>
      <w:bookmarkStart w:id="264" w:name="_Toc508890037"/>
      <w:bookmarkEnd w:id="264"/>
      <w:bookmarkStart w:id="265" w:name="_Toc508890287"/>
      <w:bookmarkEnd w:id="265"/>
      <w:bookmarkStart w:id="266" w:name="_Toc508889788"/>
      <w:bookmarkEnd w:id="266"/>
      <w:bookmarkStart w:id="267" w:name="_Toc508890038"/>
      <w:bookmarkEnd w:id="267"/>
      <w:bookmarkStart w:id="268" w:name="_Toc508890288"/>
      <w:bookmarkEnd w:id="268"/>
      <w:bookmarkStart w:id="269" w:name="_Toc508889789"/>
      <w:bookmarkEnd w:id="269"/>
      <w:bookmarkStart w:id="270" w:name="_Toc508890039"/>
      <w:bookmarkEnd w:id="270"/>
      <w:bookmarkStart w:id="271" w:name="_Toc508890289"/>
      <w:bookmarkEnd w:id="271"/>
      <w:bookmarkStart w:id="272" w:name="_Toc508889790"/>
      <w:bookmarkEnd w:id="272"/>
      <w:bookmarkStart w:id="273" w:name="_Toc508890040"/>
      <w:bookmarkEnd w:id="273"/>
      <w:bookmarkStart w:id="274" w:name="_Toc508890290"/>
      <w:bookmarkEnd w:id="274"/>
      <w:bookmarkStart w:id="275" w:name="_Toc508889791"/>
      <w:bookmarkEnd w:id="275"/>
      <w:bookmarkStart w:id="276" w:name="_Toc508890041"/>
      <w:bookmarkEnd w:id="276"/>
      <w:bookmarkStart w:id="277" w:name="_Toc508890291"/>
      <w:bookmarkEnd w:id="277"/>
      <w:bookmarkStart w:id="278" w:name="_Toc508889792"/>
      <w:bookmarkEnd w:id="278"/>
      <w:bookmarkStart w:id="279" w:name="_Toc508890042"/>
      <w:bookmarkEnd w:id="279"/>
      <w:bookmarkStart w:id="280" w:name="_Toc508890292"/>
      <w:bookmarkEnd w:id="280"/>
      <w:bookmarkStart w:id="281" w:name="_Toc508889793"/>
      <w:bookmarkEnd w:id="281"/>
      <w:bookmarkStart w:id="282" w:name="_Toc508890043"/>
      <w:bookmarkEnd w:id="282"/>
      <w:bookmarkStart w:id="283" w:name="_Toc508890293"/>
      <w:bookmarkEnd w:id="283"/>
      <w:bookmarkStart w:id="284" w:name="_Toc508889794"/>
      <w:bookmarkEnd w:id="284"/>
      <w:bookmarkStart w:id="285" w:name="_Toc508890044"/>
      <w:bookmarkEnd w:id="285"/>
      <w:bookmarkStart w:id="286" w:name="_Toc508890294"/>
      <w:bookmarkEnd w:id="286"/>
      <w:bookmarkStart w:id="287" w:name="_Toc508889569"/>
      <w:bookmarkEnd w:id="287"/>
      <w:bookmarkStart w:id="288" w:name="_Toc508889819"/>
      <w:bookmarkEnd w:id="288"/>
      <w:bookmarkStart w:id="289" w:name="_Toc508890069"/>
      <w:bookmarkEnd w:id="289"/>
      <w:bookmarkStart w:id="290" w:name="_Toc508889570"/>
      <w:bookmarkEnd w:id="290"/>
      <w:bookmarkStart w:id="291" w:name="_Toc508889820"/>
      <w:bookmarkEnd w:id="291"/>
      <w:bookmarkStart w:id="292" w:name="_Toc508890070"/>
      <w:bookmarkEnd w:id="292"/>
      <w:bookmarkStart w:id="293" w:name="_Toc508889571"/>
      <w:bookmarkEnd w:id="293"/>
      <w:bookmarkStart w:id="294" w:name="_Toc508889821"/>
      <w:bookmarkEnd w:id="294"/>
      <w:bookmarkStart w:id="295" w:name="_Toc508890071"/>
      <w:bookmarkEnd w:id="295"/>
      <w:bookmarkStart w:id="296" w:name="_Toc508889572"/>
      <w:bookmarkEnd w:id="296"/>
      <w:bookmarkStart w:id="297" w:name="_Toc508889822"/>
      <w:bookmarkEnd w:id="297"/>
      <w:bookmarkStart w:id="298" w:name="_Toc508890072"/>
      <w:bookmarkEnd w:id="298"/>
      <w:bookmarkStart w:id="299" w:name="_Toc508889573"/>
      <w:bookmarkEnd w:id="299"/>
      <w:bookmarkStart w:id="300" w:name="_Toc508889823"/>
      <w:bookmarkEnd w:id="300"/>
      <w:bookmarkStart w:id="301" w:name="_Toc508890073"/>
      <w:bookmarkEnd w:id="301"/>
      <w:bookmarkStart w:id="302" w:name="_Toc508889574"/>
      <w:bookmarkEnd w:id="302"/>
      <w:bookmarkStart w:id="303" w:name="_Toc508889824"/>
      <w:bookmarkEnd w:id="303"/>
      <w:bookmarkStart w:id="304" w:name="_Toc508890074"/>
      <w:bookmarkEnd w:id="304"/>
      <w:bookmarkStart w:id="305" w:name="_Toc508889575"/>
      <w:bookmarkEnd w:id="305"/>
      <w:bookmarkStart w:id="306" w:name="_Toc508889825"/>
      <w:bookmarkEnd w:id="306"/>
      <w:bookmarkStart w:id="307" w:name="_Toc508890075"/>
      <w:bookmarkEnd w:id="307"/>
      <w:bookmarkStart w:id="308" w:name="_Toc508889576"/>
      <w:bookmarkEnd w:id="308"/>
      <w:bookmarkStart w:id="309" w:name="_Toc508889826"/>
      <w:bookmarkEnd w:id="309"/>
      <w:bookmarkStart w:id="310" w:name="_Toc508890076"/>
      <w:bookmarkEnd w:id="310"/>
      <w:bookmarkStart w:id="311" w:name="_Toc508889577"/>
      <w:bookmarkEnd w:id="311"/>
      <w:bookmarkStart w:id="312" w:name="_Toc508889827"/>
      <w:bookmarkEnd w:id="312"/>
      <w:bookmarkStart w:id="313" w:name="_Toc508890077"/>
      <w:bookmarkEnd w:id="313"/>
      <w:bookmarkStart w:id="314" w:name="_Toc508889578"/>
      <w:bookmarkEnd w:id="314"/>
      <w:bookmarkStart w:id="315" w:name="_Toc508889828"/>
      <w:bookmarkEnd w:id="315"/>
      <w:bookmarkStart w:id="316" w:name="_Toc508890078"/>
      <w:bookmarkEnd w:id="316"/>
      <w:bookmarkStart w:id="317" w:name="_Toc508889579"/>
      <w:bookmarkEnd w:id="317"/>
      <w:bookmarkStart w:id="318" w:name="_Toc508889829"/>
      <w:bookmarkEnd w:id="318"/>
      <w:bookmarkStart w:id="319" w:name="_Toc508890079"/>
      <w:bookmarkEnd w:id="319"/>
      <w:bookmarkStart w:id="320" w:name="_Toc508889580"/>
      <w:bookmarkEnd w:id="320"/>
      <w:bookmarkStart w:id="321" w:name="_Toc508889830"/>
      <w:bookmarkEnd w:id="321"/>
      <w:bookmarkStart w:id="322" w:name="_Toc508890080"/>
      <w:bookmarkEnd w:id="322"/>
      <w:bookmarkStart w:id="323" w:name="_Toc508889581"/>
      <w:bookmarkEnd w:id="323"/>
      <w:bookmarkStart w:id="324" w:name="_Toc508889831"/>
      <w:bookmarkEnd w:id="324"/>
      <w:bookmarkStart w:id="325" w:name="_Toc508890081"/>
      <w:bookmarkEnd w:id="325"/>
      <w:bookmarkStart w:id="326" w:name="_Toc508889582"/>
      <w:bookmarkEnd w:id="326"/>
      <w:bookmarkStart w:id="327" w:name="_Toc508889832"/>
      <w:bookmarkEnd w:id="327"/>
      <w:bookmarkStart w:id="328" w:name="_Toc508890082"/>
      <w:bookmarkEnd w:id="328"/>
      <w:bookmarkStart w:id="329" w:name="_Toc508889583"/>
      <w:bookmarkEnd w:id="329"/>
      <w:bookmarkStart w:id="330" w:name="_Toc508889833"/>
      <w:bookmarkEnd w:id="330"/>
      <w:bookmarkStart w:id="331" w:name="_Toc508890083"/>
      <w:bookmarkEnd w:id="331"/>
      <w:bookmarkStart w:id="332" w:name="_Toc508889584"/>
      <w:bookmarkEnd w:id="332"/>
      <w:bookmarkStart w:id="333" w:name="_Toc508889834"/>
      <w:bookmarkEnd w:id="333"/>
      <w:bookmarkStart w:id="334" w:name="_Toc508890084"/>
      <w:bookmarkEnd w:id="334"/>
      <w:bookmarkStart w:id="335" w:name="_Toc508889585"/>
      <w:bookmarkEnd w:id="335"/>
      <w:bookmarkStart w:id="336" w:name="_Toc508889835"/>
      <w:bookmarkEnd w:id="336"/>
      <w:bookmarkStart w:id="337" w:name="_Toc508890085"/>
      <w:bookmarkEnd w:id="337"/>
      <w:bookmarkStart w:id="338" w:name="_Toc508889586"/>
      <w:bookmarkEnd w:id="338"/>
      <w:bookmarkStart w:id="339" w:name="_Toc508889836"/>
      <w:bookmarkEnd w:id="339"/>
      <w:bookmarkStart w:id="340" w:name="_Toc508890086"/>
      <w:bookmarkEnd w:id="340"/>
      <w:bookmarkStart w:id="341" w:name="_Toc508889587"/>
      <w:bookmarkEnd w:id="341"/>
      <w:bookmarkStart w:id="342" w:name="_Toc508889837"/>
      <w:bookmarkEnd w:id="342"/>
      <w:bookmarkStart w:id="343" w:name="_Toc508890087"/>
      <w:bookmarkEnd w:id="343"/>
      <w:bookmarkStart w:id="344" w:name="_Toc508889588"/>
      <w:bookmarkEnd w:id="344"/>
      <w:bookmarkStart w:id="345" w:name="_Toc508889838"/>
      <w:bookmarkEnd w:id="345"/>
      <w:bookmarkStart w:id="346" w:name="_Toc508890088"/>
      <w:bookmarkEnd w:id="346"/>
      <w:bookmarkStart w:id="347" w:name="_Toc508889589"/>
      <w:bookmarkEnd w:id="347"/>
      <w:bookmarkStart w:id="348" w:name="_Toc508889839"/>
      <w:bookmarkEnd w:id="348"/>
      <w:bookmarkStart w:id="349" w:name="_Toc508890089"/>
      <w:bookmarkEnd w:id="349"/>
      <w:bookmarkStart w:id="350" w:name="_Toc508889590"/>
      <w:bookmarkEnd w:id="350"/>
      <w:bookmarkStart w:id="351" w:name="_Toc508889840"/>
      <w:bookmarkEnd w:id="351"/>
      <w:bookmarkStart w:id="352" w:name="_Toc508890090"/>
      <w:bookmarkEnd w:id="352"/>
      <w:bookmarkStart w:id="353" w:name="_Toc508889591"/>
      <w:bookmarkEnd w:id="353"/>
      <w:bookmarkStart w:id="354" w:name="_Toc508889841"/>
      <w:bookmarkEnd w:id="354"/>
      <w:bookmarkStart w:id="355" w:name="_Toc508890091"/>
      <w:bookmarkEnd w:id="355"/>
      <w:bookmarkStart w:id="356" w:name="_Toc508889592"/>
      <w:bookmarkEnd w:id="356"/>
      <w:bookmarkStart w:id="357" w:name="_Toc508889842"/>
      <w:bookmarkEnd w:id="357"/>
      <w:bookmarkStart w:id="358" w:name="_Toc508890092"/>
      <w:bookmarkEnd w:id="358"/>
      <w:bookmarkStart w:id="359" w:name="_Toc508889593"/>
      <w:bookmarkEnd w:id="359"/>
      <w:bookmarkStart w:id="360" w:name="_Toc508889843"/>
      <w:bookmarkEnd w:id="360"/>
      <w:bookmarkStart w:id="361" w:name="_Toc508890093"/>
      <w:bookmarkEnd w:id="361"/>
      <w:bookmarkStart w:id="362" w:name="_Toc508889594"/>
      <w:bookmarkEnd w:id="362"/>
      <w:bookmarkStart w:id="363" w:name="_Toc508889844"/>
      <w:bookmarkEnd w:id="363"/>
      <w:bookmarkStart w:id="364" w:name="_Toc508890094"/>
      <w:bookmarkEnd w:id="364"/>
      <w:bookmarkStart w:id="365" w:name="_Toc508889595"/>
      <w:bookmarkEnd w:id="365"/>
      <w:bookmarkStart w:id="366" w:name="_Toc508889845"/>
      <w:bookmarkEnd w:id="366"/>
      <w:bookmarkStart w:id="367" w:name="_Toc508890095"/>
      <w:bookmarkEnd w:id="367"/>
      <w:bookmarkStart w:id="368" w:name="_Toc508889596"/>
      <w:bookmarkEnd w:id="368"/>
      <w:bookmarkStart w:id="369" w:name="_Toc508889846"/>
      <w:bookmarkEnd w:id="369"/>
      <w:bookmarkStart w:id="370" w:name="_Toc508890096"/>
      <w:bookmarkEnd w:id="370"/>
      <w:bookmarkStart w:id="371" w:name="_Toc508889597"/>
      <w:bookmarkEnd w:id="371"/>
      <w:bookmarkStart w:id="372" w:name="_Toc508889847"/>
      <w:bookmarkEnd w:id="372"/>
      <w:bookmarkStart w:id="373" w:name="_Toc508890097"/>
      <w:bookmarkEnd w:id="373"/>
      <w:bookmarkStart w:id="374" w:name="_Toc508889598"/>
      <w:bookmarkEnd w:id="374"/>
      <w:bookmarkStart w:id="375" w:name="_Toc508889848"/>
      <w:bookmarkEnd w:id="375"/>
      <w:bookmarkStart w:id="376" w:name="_Toc508890098"/>
      <w:bookmarkEnd w:id="376"/>
      <w:bookmarkStart w:id="377" w:name="_Toc508889600"/>
      <w:bookmarkEnd w:id="377"/>
      <w:bookmarkStart w:id="378" w:name="_Toc508889850"/>
      <w:bookmarkEnd w:id="378"/>
      <w:bookmarkStart w:id="379" w:name="_Toc508892001"/>
      <w:bookmarkStart w:id="380" w:name="_Toc528843185"/>
      <w:r>
        <w:rPr>
          <w:rFonts w:hint="eastAsia"/>
          <w:highlight w:val="none"/>
        </w:rPr>
        <w:t>三、产业发展重点任务</w:t>
      </w:r>
      <w:bookmarkEnd w:id="379"/>
      <w:bookmarkEnd w:id="380"/>
    </w:p>
    <w:p>
      <w:pPr>
        <w:ind w:firstLine="560" w:firstLineChars="200"/>
        <w:rPr>
          <w:highlight w:val="none"/>
        </w:rPr>
      </w:pPr>
      <w:r>
        <w:rPr>
          <w:rFonts w:hint="eastAsia"/>
          <w:highlight w:val="none"/>
        </w:rPr>
        <w:t>依据资源约束、龙头引领和重点突破三大原则布局产业发展。</w:t>
      </w:r>
    </w:p>
    <w:p>
      <w:pPr>
        <w:ind w:firstLine="562" w:firstLineChars="200"/>
        <w:rPr>
          <w:highlight w:val="none"/>
        </w:rPr>
      </w:pPr>
      <w:r>
        <w:rPr>
          <w:rFonts w:hint="eastAsia"/>
          <w:b/>
          <w:highlight w:val="none"/>
        </w:rPr>
        <w:t>资源约束</w:t>
      </w:r>
      <w:r>
        <w:rPr>
          <w:rFonts w:hint="eastAsia"/>
          <w:highlight w:val="none"/>
        </w:rPr>
        <w:t>：智慧小镇的建设要立足当前，着眼长远，远近结合，充分考虑资源和环境的承载能力，合理确定产业项目及用地，使土地、道路和基础设施得到充分利用，珍惜土地和水等资源，重视生态建设，加强环境保护，重视人才培养与利用。</w:t>
      </w:r>
    </w:p>
    <w:p>
      <w:pPr>
        <w:ind w:firstLine="562" w:firstLineChars="200"/>
        <w:rPr>
          <w:highlight w:val="none"/>
        </w:rPr>
      </w:pPr>
      <w:r>
        <w:rPr>
          <w:rFonts w:hint="eastAsia"/>
          <w:b/>
          <w:highlight w:val="none"/>
        </w:rPr>
        <w:t>龙头引领</w:t>
      </w:r>
      <w:r>
        <w:rPr>
          <w:rFonts w:hint="eastAsia"/>
          <w:highlight w:val="none"/>
        </w:rPr>
        <w:t>：重点引进能够带动产业集聚提升、能够延长产业链的企业和项目，坚持对外招引和向内挖潜并重，在产业链配套延伸类项目招商方面下功夫，在龙头企业招商方面下功夫，提升宜春市产业链，加快形成产业集聚的新局面。</w:t>
      </w:r>
    </w:p>
    <w:p>
      <w:pPr>
        <w:ind w:firstLine="562" w:firstLineChars="200"/>
        <w:rPr>
          <w:highlight w:val="none"/>
        </w:rPr>
      </w:pPr>
      <w:r>
        <w:rPr>
          <w:rFonts w:hint="eastAsia"/>
          <w:b/>
          <w:highlight w:val="none"/>
        </w:rPr>
        <w:t>重点突破</w:t>
      </w:r>
      <w:r>
        <w:rPr>
          <w:rFonts w:hint="eastAsia"/>
          <w:highlight w:val="none"/>
        </w:rPr>
        <w:t>：汇聚数据资源，持续开展有利于传统产业数据转型的技术创新及应用研发，不断加大对传统产业转型升级的支持力度，基于宜春市产业发展现状和趋势，培育形成具有地方特色的大数据应用，引导大数据产业发展。</w:t>
      </w:r>
    </w:p>
    <w:p>
      <w:pPr>
        <w:pStyle w:val="4"/>
        <w:rPr>
          <w:highlight w:val="none"/>
        </w:rPr>
      </w:pPr>
      <w:bookmarkStart w:id="381" w:name="_Toc528843186"/>
      <w:bookmarkStart w:id="382" w:name="_Toc508892002"/>
      <w:r>
        <w:rPr>
          <w:rFonts w:hint="eastAsia"/>
          <w:highlight w:val="none"/>
        </w:rPr>
        <w:t>（一）打造智慧服务基地，服务智慧城市</w:t>
      </w:r>
      <w:bookmarkEnd w:id="381"/>
    </w:p>
    <w:p>
      <w:pPr>
        <w:ind w:firstLine="560" w:firstLineChars="200"/>
        <w:rPr>
          <w:highlight w:val="none"/>
        </w:rPr>
      </w:pPr>
      <w:r>
        <w:rPr>
          <w:rFonts w:hint="eastAsia"/>
          <w:highlight w:val="none"/>
        </w:rPr>
        <w:t>智慧服务基地将结合智慧城市建设和实施，以政务服务大数据、民生服务大数据和城市管理服务大数据作为三大着力点，在智慧小镇一期积极培育引进企业和社会机构开展创新应用研究，激发社会活力，深入挖掘大数据、人工智能等技术在政务服务、民生服务、城市管理等领域的示范应用，有效推动智慧城市建设，提升宜春市智慧城市运营和管理水平，以智慧城市应用需求吸纳信息技术及信息服务企业落户智慧小镇，激活智慧小镇的信息技术及信息服务能力，将智慧小镇打造为宜春市的智慧大脑。</w:t>
      </w:r>
    </w:p>
    <w:p>
      <w:pPr>
        <w:ind w:firstLine="560" w:firstLineChars="200"/>
        <w:rPr>
          <w:highlight w:val="none"/>
        </w:rPr>
      </w:pPr>
      <w:r>
        <w:rPr>
          <w:rFonts w:hint="eastAsia"/>
          <w:highlight w:val="none"/>
        </w:rPr>
        <w:t>在智慧服务基地建设过程中遵循“云上宜春”智慧城市顶层规划设计，把握“云上宜春”建设契机，以应用促产业，以产业带应用，以本地智慧城市建设需求吸引和培育可服务于智慧城市建设的大数据技术和服务企业入驻智慧小镇，提升宜春市城市建设智慧化水平，并逐步辐射赣西地区，打造赣西地区智慧服务高地。</w:t>
      </w:r>
    </w:p>
    <w:p>
      <w:pPr>
        <w:pStyle w:val="5"/>
        <w:rPr>
          <w:rFonts w:ascii="黑体" w:hAnsi="黑体" w:eastAsia="黑体"/>
          <w:b w:val="0"/>
          <w:bCs w:val="0"/>
          <w:highlight w:val="none"/>
        </w:rPr>
      </w:pPr>
      <w:bookmarkStart w:id="383" w:name="_Toc514935458"/>
      <w:bookmarkStart w:id="384" w:name="_Toc528843187"/>
      <w:r>
        <w:rPr>
          <w:rFonts w:hint="eastAsia" w:ascii="黑体" w:hAnsi="黑体" w:eastAsia="黑体"/>
          <w:b w:val="0"/>
          <w:bCs w:val="0"/>
          <w:highlight w:val="none"/>
        </w:rPr>
        <w:t>1.1</w:t>
      </w:r>
      <w:bookmarkEnd w:id="383"/>
      <w:r>
        <w:rPr>
          <w:rFonts w:hint="eastAsia" w:ascii="黑体" w:hAnsi="黑体" w:eastAsia="黑体"/>
          <w:b w:val="0"/>
          <w:bCs w:val="0"/>
          <w:highlight w:val="none"/>
        </w:rPr>
        <w:t>发展政务服务大数据，提升互联网+政务服务水平</w:t>
      </w:r>
      <w:bookmarkEnd w:id="384"/>
    </w:p>
    <w:p>
      <w:pPr>
        <w:pStyle w:val="6"/>
        <w:rPr>
          <w:highlight w:val="none"/>
        </w:rPr>
      </w:pPr>
      <w:r>
        <w:rPr>
          <w:highlight w:val="none"/>
        </w:rPr>
        <w:t xml:space="preserve">1.1.1 </w:t>
      </w:r>
      <w:r>
        <w:rPr>
          <w:rFonts w:hint="eastAsia"/>
          <w:highlight w:val="none"/>
        </w:rPr>
        <w:t>基础现状</w:t>
      </w:r>
    </w:p>
    <w:p>
      <w:pPr>
        <w:ind w:firstLine="562" w:firstLineChars="200"/>
        <w:rPr>
          <w:highlight w:val="none"/>
        </w:rPr>
      </w:pPr>
      <w:r>
        <w:rPr>
          <w:rFonts w:hint="eastAsia"/>
          <w:b/>
          <w:highlight w:val="none"/>
        </w:rPr>
        <w:t>宜春市在政务信息化方面取得一定进展，为开展政务大数据应用打下基础。</w:t>
      </w:r>
      <w:r>
        <w:rPr>
          <w:rFonts w:hint="eastAsia"/>
          <w:highlight w:val="none"/>
        </w:rPr>
        <w:t>积极推进政务信息系统整合共享工作的实施，为纵深推进“放管服”改革奠定坚实基础。宜春市各智能政务服务大厅的自助服务终端可以办理</w:t>
      </w:r>
      <w:r>
        <w:rPr>
          <w:highlight w:val="none"/>
        </w:rPr>
        <w:t>30</w:t>
      </w:r>
      <w:r>
        <w:rPr>
          <w:rFonts w:hint="eastAsia"/>
          <w:highlight w:val="none"/>
        </w:rPr>
        <w:t>项“一次办好”事项，做到“不见面审批”，实现“一次办好”与“不见面审批”的有机结合，在政务服务利企便民方面走在全省前列。有效推进政务信息系统的迁移工作，以移动机房作为过渡，最终实现系统向新政务数据中心的总体迁移。实施全市电子政务系统的集约化管理，有效避免了重复建设和资源浪费，为云数据中心的建设做了充分准备。</w:t>
      </w:r>
    </w:p>
    <w:p>
      <w:pPr>
        <w:ind w:firstLine="562" w:firstLineChars="200"/>
        <w:rPr>
          <w:highlight w:val="none"/>
        </w:rPr>
      </w:pPr>
      <w:r>
        <w:rPr>
          <w:rFonts w:hint="eastAsia"/>
          <w:b/>
          <w:highlight w:val="none"/>
        </w:rPr>
        <w:t>宜春市在政务数据资源的汇聚、共享、开放方面推进力度不足，成为未来发展政务大数据的障碍。</w:t>
      </w:r>
      <w:r>
        <w:rPr>
          <w:rFonts w:hint="eastAsia"/>
          <w:highlight w:val="none"/>
        </w:rPr>
        <w:t>目前政务数据资源目录的编制工作推进较慢，未形成数据汇聚机制。四大基础数据库还不健全，人口库未实现共享，空间地理库更新不及时，电子证照库未启动建设。未建立统一的共享交换平台，数据通过网站发布的方式进行公开，对市民和企业的服务效果有限。</w:t>
      </w:r>
    </w:p>
    <w:p>
      <w:pPr>
        <w:pStyle w:val="6"/>
        <w:rPr>
          <w:highlight w:val="none"/>
        </w:rPr>
      </w:pPr>
      <w:r>
        <w:rPr>
          <w:bCs w:val="0"/>
          <w:highlight w:val="none"/>
        </w:rPr>
        <w:t xml:space="preserve">1.1.2 </w:t>
      </w:r>
      <w:r>
        <w:rPr>
          <w:rFonts w:hint="eastAsia"/>
          <w:bCs w:val="0"/>
          <w:highlight w:val="none"/>
        </w:rPr>
        <w:t>目标定位</w:t>
      </w:r>
    </w:p>
    <w:p>
      <w:pPr>
        <w:ind w:firstLine="560" w:firstLineChars="200"/>
        <w:rPr>
          <w:highlight w:val="none"/>
        </w:rPr>
      </w:pPr>
      <w:r>
        <w:rPr>
          <w:rFonts w:hint="eastAsia"/>
          <w:highlight w:val="none"/>
        </w:rPr>
        <w:t>以智慧服务基地的政务服务大数据板块，联合市直相关部门，承载宜春市政务服务的建设、运维等环节，推动全市政务服务的智慧化转型，继而开展智慧政务服务初创企业的培育、孵化工作，打造智慧政务服务宜春样板，推出成熟的智慧政务服务解决方案，并逐步对外提供产品与服务。</w:t>
      </w:r>
    </w:p>
    <w:p>
      <w:pPr>
        <w:ind w:firstLine="560" w:firstLineChars="200"/>
        <w:rPr>
          <w:highlight w:val="none"/>
        </w:rPr>
      </w:pPr>
      <w:r>
        <w:rPr>
          <w:rFonts w:hint="eastAsia"/>
          <w:highlight w:val="none"/>
        </w:rPr>
        <w:t>到</w:t>
      </w:r>
      <w:r>
        <w:rPr>
          <w:highlight w:val="none"/>
        </w:rPr>
        <w:t>2030</w:t>
      </w:r>
      <w:r>
        <w:rPr>
          <w:rFonts w:hint="eastAsia"/>
          <w:highlight w:val="none"/>
        </w:rPr>
        <w:t>年，智慧政务服务大数据企业主营业务收入达到</w:t>
      </w:r>
      <w:r>
        <w:rPr>
          <w:highlight w:val="none"/>
        </w:rPr>
        <w:t>2</w:t>
      </w:r>
      <w:r>
        <w:rPr>
          <w:rFonts w:hint="eastAsia"/>
          <w:highlight w:val="none"/>
        </w:rPr>
        <w:t>亿元，培育和引进</w:t>
      </w:r>
      <w:r>
        <w:rPr>
          <w:highlight w:val="none"/>
        </w:rPr>
        <w:t>15</w:t>
      </w:r>
      <w:r>
        <w:rPr>
          <w:rFonts w:hint="eastAsia"/>
          <w:highlight w:val="none"/>
        </w:rPr>
        <w:t>家以上省级智慧政务建设和运营企业，引入</w:t>
      </w:r>
      <w:r>
        <w:rPr>
          <w:highlight w:val="none"/>
        </w:rPr>
        <w:t>5</w:t>
      </w:r>
      <w:r>
        <w:rPr>
          <w:rFonts w:hint="eastAsia"/>
          <w:highlight w:val="none"/>
        </w:rPr>
        <w:t>家以上全国知名的智慧政务服务龙头企业，从业人员超过</w:t>
      </w:r>
      <w:r>
        <w:rPr>
          <w:highlight w:val="none"/>
        </w:rPr>
        <w:t>400</w:t>
      </w:r>
      <w:r>
        <w:rPr>
          <w:rFonts w:hint="eastAsia"/>
          <w:highlight w:val="none"/>
        </w:rPr>
        <w:t>人。完成政务数据共享交换平台建设，实现政务部门数据共享，加快服务型政府转型，实现政务服务标准化、常态化和可视化，全面提升政府创新服务能力。</w:t>
      </w:r>
    </w:p>
    <w:p>
      <w:pPr>
        <w:pStyle w:val="6"/>
        <w:rPr>
          <w:highlight w:val="none"/>
        </w:rPr>
      </w:pPr>
      <w:r>
        <w:rPr>
          <w:bCs w:val="0"/>
          <w:highlight w:val="none"/>
        </w:rPr>
        <w:t xml:space="preserve">1.1.3 </w:t>
      </w:r>
      <w:r>
        <w:rPr>
          <w:rFonts w:hint="eastAsia"/>
          <w:bCs w:val="0"/>
          <w:highlight w:val="none"/>
        </w:rPr>
        <w:t>实施路径</w:t>
      </w:r>
    </w:p>
    <w:p>
      <w:pPr>
        <w:ind w:firstLine="562" w:firstLineChars="200"/>
        <w:rPr>
          <w:b/>
          <w:highlight w:val="none"/>
        </w:rPr>
      </w:pPr>
      <w:r>
        <w:rPr>
          <w:b/>
          <w:highlight w:val="none"/>
        </w:rPr>
        <w:t>2018-2020</w:t>
      </w:r>
      <w:r>
        <w:rPr>
          <w:rFonts w:hint="eastAsia"/>
          <w:b/>
          <w:highlight w:val="none"/>
        </w:rPr>
        <w:t>年：</w:t>
      </w:r>
    </w:p>
    <w:p>
      <w:pPr>
        <w:ind w:firstLine="562" w:firstLineChars="200"/>
        <w:rPr>
          <w:highlight w:val="none"/>
        </w:rPr>
      </w:pPr>
      <w:r>
        <w:rPr>
          <w:rFonts w:hint="eastAsia"/>
          <w:b/>
          <w:highlight w:val="none"/>
        </w:rPr>
        <w:t>承建宜春市大数据平台，汇聚共享交换政务数据资源。</w:t>
      </w:r>
      <w:r>
        <w:rPr>
          <w:rFonts w:hint="eastAsia"/>
          <w:highlight w:val="none"/>
        </w:rPr>
        <w:t>承建宜春市统一的大数据平台，联合市大数据局梳理政务资源目录，建设宜春市本级的政务数据共享交换平台与数据开放平台，构建宜春市四大基础数据资源库，健全宜春市政务数据资源共享交换制度。</w:t>
      </w:r>
    </w:p>
    <w:p>
      <w:pPr>
        <w:ind w:firstLine="562" w:firstLineChars="200"/>
        <w:rPr>
          <w:highlight w:val="none"/>
        </w:rPr>
      </w:pPr>
      <w:r>
        <w:rPr>
          <w:rFonts w:hint="eastAsia"/>
          <w:b/>
          <w:highlight w:val="none"/>
        </w:rPr>
        <w:t>联合市直部门推动政务数据资源开放，合作开展智慧政务服务应用研究。</w:t>
      </w:r>
      <w:r>
        <w:rPr>
          <w:rFonts w:hint="eastAsia"/>
          <w:highlight w:val="none"/>
        </w:rPr>
        <w:t>基于大数据平台，联合市直部门逐步拓展构建重要主题数据资源库，并逐步完善部门业务数据资源库。以开放的政务数据资源，积极培育并引入智慧政务服务企业，与市直部门开展创新应用研究，开展全市智慧政务服务的建设与运维工作，逐步提升全市政务服务水平。</w:t>
      </w:r>
    </w:p>
    <w:p>
      <w:pPr>
        <w:ind w:firstLine="562" w:firstLineChars="200"/>
        <w:rPr>
          <w:b/>
          <w:highlight w:val="none"/>
        </w:rPr>
      </w:pPr>
      <w:r>
        <w:rPr>
          <w:b/>
          <w:highlight w:val="none"/>
        </w:rPr>
        <w:t>2021-2025</w:t>
      </w:r>
      <w:r>
        <w:rPr>
          <w:rFonts w:hint="eastAsia"/>
          <w:b/>
          <w:highlight w:val="none"/>
        </w:rPr>
        <w:t>年：</w:t>
      </w:r>
    </w:p>
    <w:p>
      <w:pPr>
        <w:ind w:firstLine="562" w:firstLineChars="200"/>
        <w:rPr>
          <w:highlight w:val="none"/>
        </w:rPr>
      </w:pPr>
      <w:r>
        <w:rPr>
          <w:rFonts w:hint="eastAsia" w:ascii="仿宋_GB2312"/>
          <w:b/>
          <w:szCs w:val="32"/>
          <w:highlight w:val="none"/>
        </w:rPr>
        <w:t>持续吸引智慧政务服务信息技术提供商落户智慧小镇，推进“互联网+政务服务”应用发展。</w:t>
      </w:r>
      <w:r>
        <w:rPr>
          <w:rFonts w:hint="eastAsia"/>
          <w:highlight w:val="none"/>
        </w:rPr>
        <w:t>促进电子政务大数据的开发利用，在数据安全的前提下，向社会、企业和个人开放与经济社会发展密切相关的政务数据，有力推动大众创业、万众创新，提升人民群众的满意程度和电子政务建设的成效。带动经济社会相关行业创新发展，鼓励社会组织和企业基于政府开放数据提供增值应用服务，鼓励企业以</w:t>
      </w:r>
      <w:r>
        <w:rPr>
          <w:highlight w:val="none"/>
        </w:rPr>
        <w:t>PPP</w:t>
      </w:r>
      <w:r>
        <w:rPr>
          <w:rFonts w:hint="eastAsia"/>
          <w:highlight w:val="none"/>
        </w:rPr>
        <w:t>模式参与政府公共服务、社会管理、市场监管相关应用开发和服务提供。</w:t>
      </w:r>
    </w:p>
    <w:p>
      <w:pPr>
        <w:ind w:firstLine="562" w:firstLineChars="200"/>
        <w:rPr>
          <w:b/>
          <w:highlight w:val="none"/>
        </w:rPr>
      </w:pPr>
      <w:r>
        <w:rPr>
          <w:b/>
          <w:highlight w:val="none"/>
        </w:rPr>
        <w:t>2026-2030</w:t>
      </w:r>
      <w:r>
        <w:rPr>
          <w:rFonts w:hint="eastAsia"/>
          <w:b/>
          <w:highlight w:val="none"/>
        </w:rPr>
        <w:t>年：</w:t>
      </w:r>
    </w:p>
    <w:p>
      <w:pPr>
        <w:ind w:firstLine="562" w:firstLineChars="200"/>
        <w:rPr>
          <w:highlight w:val="none"/>
        </w:rPr>
      </w:pPr>
      <w:r>
        <w:rPr>
          <w:rFonts w:hint="eastAsia"/>
          <w:b/>
          <w:highlight w:val="none"/>
        </w:rPr>
        <w:t>打造智慧政务服务解决方案。</w:t>
      </w:r>
      <w:r>
        <w:rPr>
          <w:rFonts w:hint="eastAsia"/>
          <w:highlight w:val="none"/>
        </w:rPr>
        <w:t>服务本地的同时，形成智慧政务服务宜春样板，提升本地智慧政务研发运营水平，打造智慧政务成熟的解决方案，逐步向赣西区域、全省、全国辐射。</w:t>
      </w:r>
    </w:p>
    <w:p>
      <w:pPr>
        <w:pStyle w:val="5"/>
        <w:rPr>
          <w:rFonts w:ascii="黑体" w:hAnsi="黑体" w:eastAsia="黑体"/>
          <w:b w:val="0"/>
          <w:bCs w:val="0"/>
          <w:highlight w:val="none"/>
        </w:rPr>
      </w:pPr>
      <w:bookmarkStart w:id="385" w:name="_Toc514935459"/>
      <w:bookmarkStart w:id="386" w:name="_Toc528843188"/>
      <w:r>
        <w:rPr>
          <w:rFonts w:hint="eastAsia" w:ascii="黑体" w:hAnsi="黑体" w:eastAsia="黑体"/>
          <w:b w:val="0"/>
          <w:bCs w:val="0"/>
          <w:highlight w:val="none"/>
        </w:rPr>
        <w:t>1.2</w:t>
      </w:r>
      <w:bookmarkEnd w:id="385"/>
      <w:r>
        <w:rPr>
          <w:rFonts w:hint="eastAsia" w:ascii="黑体" w:hAnsi="黑体" w:eastAsia="黑体"/>
          <w:b w:val="0"/>
          <w:bCs w:val="0"/>
          <w:highlight w:val="none"/>
        </w:rPr>
        <w:t>发展民生服务大数据，激发民生服务创新应用活力</w:t>
      </w:r>
      <w:bookmarkEnd w:id="386"/>
    </w:p>
    <w:p>
      <w:pPr>
        <w:pStyle w:val="6"/>
        <w:rPr>
          <w:bCs w:val="0"/>
          <w:highlight w:val="none"/>
        </w:rPr>
      </w:pPr>
      <w:r>
        <w:rPr>
          <w:bCs w:val="0"/>
          <w:highlight w:val="none"/>
        </w:rPr>
        <w:t xml:space="preserve">1.2.1 </w:t>
      </w:r>
      <w:r>
        <w:rPr>
          <w:rFonts w:hint="eastAsia"/>
          <w:bCs w:val="0"/>
          <w:highlight w:val="none"/>
        </w:rPr>
        <w:t>基础现状</w:t>
      </w:r>
    </w:p>
    <w:p>
      <w:pPr>
        <w:ind w:firstLine="562" w:firstLineChars="200"/>
        <w:rPr>
          <w:highlight w:val="none"/>
        </w:rPr>
      </w:pPr>
      <w:r>
        <w:rPr>
          <w:rFonts w:hint="eastAsia"/>
          <w:b/>
          <w:highlight w:val="none"/>
        </w:rPr>
        <w:t>宜春市民生信息化建设初有成效。</w:t>
      </w:r>
      <w:r>
        <w:rPr>
          <w:rFonts w:hint="eastAsia"/>
          <w:highlight w:val="none"/>
        </w:rPr>
        <w:t>各部门积极推进大数据在教育、医疗等民生领域的应用，全力构建多元普惠的民生体系。在医疗方面，目前卫健委共有</w:t>
      </w:r>
      <w:r>
        <w:rPr>
          <w:highlight w:val="none"/>
        </w:rPr>
        <w:t>30</w:t>
      </w:r>
      <w:r>
        <w:rPr>
          <w:rFonts w:hint="eastAsia"/>
          <w:highlight w:val="none"/>
        </w:rPr>
        <w:t>多个国家级或者省级建设的纵向系统，以及1个地市级网站，初步构建了全民信息平台的基本框架。在教育方面，</w:t>
      </w:r>
      <w:r>
        <w:rPr>
          <w:highlight w:val="none"/>
        </w:rPr>
        <w:t>2017</w:t>
      </w:r>
      <w:r>
        <w:rPr>
          <w:rFonts w:hint="eastAsia"/>
          <w:highlight w:val="none"/>
        </w:rPr>
        <w:t>年全年共投入资金</w:t>
      </w:r>
      <w:r>
        <w:rPr>
          <w:highlight w:val="none"/>
        </w:rPr>
        <w:t>6000</w:t>
      </w:r>
      <w:r>
        <w:rPr>
          <w:rFonts w:hint="eastAsia"/>
          <w:highlight w:val="none"/>
        </w:rPr>
        <w:t>余万元，推进“三通两平台”建设，启动“专递课堂”、“宜春市教育信息化教学应用专家库”等项目，促进教育信息化的深度应用。在交通方面，公共交通信息化系统较为完备，公交公司积极推动信息化建设。</w:t>
      </w:r>
    </w:p>
    <w:p>
      <w:pPr>
        <w:ind w:firstLine="562" w:firstLineChars="200"/>
        <w:rPr>
          <w:b/>
          <w:highlight w:val="none"/>
        </w:rPr>
      </w:pPr>
      <w:r>
        <w:rPr>
          <w:rFonts w:hint="eastAsia"/>
          <w:b/>
          <w:highlight w:val="none"/>
        </w:rPr>
        <w:t>民生服务领域的应用需求促进各部门全力推动信息化建设。</w:t>
      </w:r>
      <w:r>
        <w:rPr>
          <w:rFonts w:hint="eastAsia"/>
          <w:highlight w:val="none"/>
        </w:rPr>
        <w:t>为适应需求及普惠民众，各部门均有明确的推进计划，如落地全民健康信息平台、建设教育城域骨干网、搭建考试学情分析系统、推进建设</w:t>
      </w:r>
      <w:r>
        <w:rPr>
          <w:highlight w:val="none"/>
        </w:rPr>
        <w:t>APP</w:t>
      </w:r>
      <w:r>
        <w:rPr>
          <w:rFonts w:hint="eastAsia"/>
          <w:highlight w:val="none"/>
        </w:rPr>
        <w:t>扫码乘车系统等。同时，基于各系统内部、各系统与关联部门之间数据共享的需求迫切，宜春市亟待建立民生服务领域的主题数据资源库。</w:t>
      </w:r>
    </w:p>
    <w:p>
      <w:pPr>
        <w:pStyle w:val="6"/>
        <w:rPr>
          <w:highlight w:val="none"/>
        </w:rPr>
      </w:pPr>
      <w:r>
        <w:rPr>
          <w:bCs w:val="0"/>
          <w:highlight w:val="none"/>
        </w:rPr>
        <w:t xml:space="preserve">1.2.2 </w:t>
      </w:r>
      <w:r>
        <w:rPr>
          <w:rFonts w:hint="eastAsia"/>
          <w:bCs w:val="0"/>
          <w:highlight w:val="none"/>
        </w:rPr>
        <w:t>目标定位</w:t>
      </w:r>
    </w:p>
    <w:p>
      <w:pPr>
        <w:ind w:firstLine="560" w:firstLineChars="200"/>
        <w:rPr>
          <w:highlight w:val="none"/>
        </w:rPr>
      </w:pPr>
      <w:r>
        <w:rPr>
          <w:rFonts w:hint="eastAsia"/>
          <w:highlight w:val="none"/>
        </w:rPr>
        <w:t>以智慧服务基地的民生服务大数据板块，联合市直相关部门及民生服务主体机构，承载宜春市民生服务的建设、运维等环节，推动全市民生服务的智慧化转型，继而开展智慧民生服务初创企业的培育、孵化工作，打造智慧民生服务宜春样板，推出成熟的智慧民生服务解决方案，并逐步对外提供产品与服务。</w:t>
      </w:r>
    </w:p>
    <w:p>
      <w:pPr>
        <w:ind w:firstLine="560" w:firstLineChars="200"/>
        <w:rPr>
          <w:highlight w:val="none"/>
        </w:rPr>
      </w:pPr>
      <w:r>
        <w:rPr>
          <w:rFonts w:hint="eastAsia"/>
          <w:highlight w:val="none"/>
        </w:rPr>
        <w:t>到</w:t>
      </w:r>
      <w:r>
        <w:rPr>
          <w:highlight w:val="none"/>
        </w:rPr>
        <w:t>2030</w:t>
      </w:r>
      <w:r>
        <w:rPr>
          <w:rFonts w:hint="eastAsia"/>
          <w:highlight w:val="none"/>
        </w:rPr>
        <w:t>年，智慧民生服务大数据企业主营业务收入达到</w:t>
      </w:r>
      <w:r>
        <w:rPr>
          <w:highlight w:val="none"/>
        </w:rPr>
        <w:t>3</w:t>
      </w:r>
      <w:r>
        <w:rPr>
          <w:rFonts w:hint="eastAsia"/>
          <w:highlight w:val="none"/>
        </w:rPr>
        <w:t>亿元，培育和引进</w:t>
      </w:r>
      <w:r>
        <w:rPr>
          <w:highlight w:val="none"/>
        </w:rPr>
        <w:t>20</w:t>
      </w:r>
      <w:r>
        <w:rPr>
          <w:rFonts w:hint="eastAsia"/>
          <w:highlight w:val="none"/>
        </w:rPr>
        <w:t>家以上省级智慧民生建设和运营企业，引入</w:t>
      </w:r>
      <w:r>
        <w:rPr>
          <w:highlight w:val="none"/>
        </w:rPr>
        <w:t>10</w:t>
      </w:r>
      <w:r>
        <w:rPr>
          <w:rFonts w:hint="eastAsia"/>
          <w:highlight w:val="none"/>
        </w:rPr>
        <w:t>家以上全国知名的智慧民生服务龙头企业，从业人员超过</w:t>
      </w:r>
      <w:r>
        <w:rPr>
          <w:highlight w:val="none"/>
        </w:rPr>
        <w:t>600</w:t>
      </w:r>
      <w:r>
        <w:rPr>
          <w:rFonts w:hint="eastAsia"/>
          <w:highlight w:val="none"/>
        </w:rPr>
        <w:t>人。重点打造智慧医疗、智慧教育、智能交通等民生服务，提升全省公共服务消费水平。支持智慧民生软件和信息技术服务企业聚集，并鼓励设立分公司，开展宜春本地和全国智慧民生项目，推动互联网技术在民生服务领域广泛应用，使民生服务体系更加完善。</w:t>
      </w:r>
    </w:p>
    <w:p>
      <w:pPr>
        <w:pStyle w:val="6"/>
        <w:rPr>
          <w:highlight w:val="none"/>
        </w:rPr>
      </w:pPr>
      <w:r>
        <w:rPr>
          <w:bCs w:val="0"/>
          <w:highlight w:val="none"/>
        </w:rPr>
        <w:t xml:space="preserve">1.2.3 </w:t>
      </w:r>
      <w:r>
        <w:rPr>
          <w:rFonts w:hint="eastAsia"/>
          <w:bCs w:val="0"/>
          <w:highlight w:val="none"/>
        </w:rPr>
        <w:t>实施路径</w:t>
      </w:r>
    </w:p>
    <w:p>
      <w:pPr>
        <w:ind w:firstLine="562" w:firstLineChars="200"/>
        <w:rPr>
          <w:b/>
          <w:highlight w:val="none"/>
        </w:rPr>
      </w:pPr>
      <w:r>
        <w:rPr>
          <w:b/>
          <w:highlight w:val="none"/>
        </w:rPr>
        <w:t>2018-2020</w:t>
      </w:r>
      <w:r>
        <w:rPr>
          <w:rFonts w:hint="eastAsia"/>
          <w:b/>
          <w:highlight w:val="none"/>
        </w:rPr>
        <w:t>年：</w:t>
      </w:r>
    </w:p>
    <w:p>
      <w:pPr>
        <w:ind w:firstLine="562" w:firstLineChars="200"/>
        <w:rPr>
          <w:highlight w:val="none"/>
        </w:rPr>
      </w:pPr>
      <w:r>
        <w:rPr>
          <w:rFonts w:hint="eastAsia"/>
          <w:b/>
          <w:highlight w:val="none"/>
        </w:rPr>
        <w:t>联合市直部门及民生服务主体机构，推动建立民生服务领域的主题数据资源库。</w:t>
      </w:r>
      <w:r>
        <w:rPr>
          <w:rFonts w:hint="eastAsia"/>
          <w:highlight w:val="none"/>
        </w:rPr>
        <w:t>基于基础数据资源库，针对民生服务细分领域，联合宜春民生服务相关市直部门建立民生服务主题数据资源库，并积极推动数据资源面向社会开放。引导并鼓励医疗、教育、交通等重点行业数据汇聚集中，并积极争取引进或对接江西省和国家级数据资源，打造数据资源基础。</w:t>
      </w:r>
    </w:p>
    <w:p>
      <w:pPr>
        <w:ind w:firstLine="562" w:firstLineChars="200"/>
        <w:rPr>
          <w:b/>
          <w:highlight w:val="none"/>
        </w:rPr>
      </w:pPr>
      <w:r>
        <w:rPr>
          <w:rFonts w:hint="eastAsia"/>
          <w:b/>
          <w:highlight w:val="none"/>
        </w:rPr>
        <w:t>推动开放民生服务领域数据资源，合作开展本地智慧民生服务应用研究。</w:t>
      </w:r>
      <w:r>
        <w:rPr>
          <w:rFonts w:hint="eastAsia"/>
          <w:highlight w:val="none"/>
        </w:rPr>
        <w:t>吸引本地民生服务领域信息系统承建单位落户智慧小镇，以数据资源开放合作发展本地智慧民生服务应用。发展宜春市智慧医疗服务，合作建设全民健康信息平台，建设市卫生信息平台和电子病历、健康档案等资源数据库，对接国家、省层面医疗卫生平台，建设基于互联网、大数据技术的分级诊疗信息系统。</w:t>
      </w:r>
      <w:r>
        <w:rPr>
          <w:rFonts w:hint="eastAsia"/>
          <w:bCs/>
          <w:color w:val="000000"/>
          <w:szCs w:val="32"/>
          <w:highlight w:val="none"/>
        </w:rPr>
        <w:t>发展宜春市智慧教育服务，合作建设</w:t>
      </w:r>
      <w:r>
        <w:rPr>
          <w:rFonts w:hint="eastAsia"/>
          <w:highlight w:val="none"/>
        </w:rPr>
        <w:t>教育公共服务平台，汇聚全市教育管理数据资源以及学校、其他教育机构和企事业单位内容数据资源。发展宜春市智慧交通服务，支持相关互联网平台企业为本地公众提供实时交通运行状态查询、出行路线规划、网上购票、智能停车等服务，推进基于互联网平台的多种出行方式对接信息服务和一站式服务。</w:t>
      </w:r>
    </w:p>
    <w:p>
      <w:pPr>
        <w:ind w:firstLine="562" w:firstLineChars="200"/>
        <w:rPr>
          <w:b/>
          <w:highlight w:val="none"/>
        </w:rPr>
      </w:pPr>
      <w:r>
        <w:rPr>
          <w:b/>
          <w:highlight w:val="none"/>
        </w:rPr>
        <w:t>2021-2025</w:t>
      </w:r>
      <w:r>
        <w:rPr>
          <w:rFonts w:hint="eastAsia"/>
          <w:b/>
          <w:highlight w:val="none"/>
        </w:rPr>
        <w:t>年：</w:t>
      </w:r>
    </w:p>
    <w:p>
      <w:pPr>
        <w:ind w:firstLine="562" w:firstLineChars="200"/>
        <w:rPr>
          <w:highlight w:val="none"/>
        </w:rPr>
      </w:pPr>
      <w:r>
        <w:rPr>
          <w:rFonts w:hint="eastAsia"/>
          <w:b/>
          <w:highlight w:val="none"/>
        </w:rPr>
        <w:t>培育引进智慧民生服务企业开展创新应用研究，</w:t>
      </w:r>
      <w:r>
        <w:rPr>
          <w:rFonts w:hint="eastAsia" w:ascii="仿宋_GB2312"/>
          <w:b/>
          <w:szCs w:val="32"/>
          <w:highlight w:val="none"/>
        </w:rPr>
        <w:t>进一步推进“互联网+民生服务”应用发展</w:t>
      </w:r>
      <w:r>
        <w:rPr>
          <w:rFonts w:hint="eastAsia"/>
          <w:b/>
          <w:highlight w:val="none"/>
        </w:rPr>
        <w:t>。</w:t>
      </w:r>
      <w:r>
        <w:rPr>
          <w:rFonts w:hint="eastAsia"/>
          <w:highlight w:val="none"/>
          <w:shd w:val="clear" w:color="auto" w:fill="FFFFFF"/>
        </w:rPr>
        <w:t>积极推进民生领域数据资源共享开放，为民资企业和创新创业人群提供数据资源，降低民生服务领域的进入门槛，激活创新动力。</w:t>
      </w:r>
      <w:r>
        <w:rPr>
          <w:rFonts w:hint="eastAsia"/>
          <w:highlight w:val="none"/>
        </w:rPr>
        <w:t>汇总本地民生服务信息化、智能化应用需求，并以开放的心态吸纳外地信息技术企业落户智慧小镇，与本地企业联合开展民生服务创新应用，打造智慧民生服务创新应用样板。带动经济社会相关行业创新发展，鼓励社会组织和企业基于民生领域开放数据提供增值应用服务，鼓励企业以</w:t>
      </w:r>
      <w:r>
        <w:rPr>
          <w:highlight w:val="none"/>
        </w:rPr>
        <w:t>PPP</w:t>
      </w:r>
      <w:r>
        <w:rPr>
          <w:rFonts w:hint="eastAsia"/>
          <w:highlight w:val="none"/>
        </w:rPr>
        <w:t>模式参与民生领域相关应用开发和服务提供。</w:t>
      </w:r>
    </w:p>
    <w:p>
      <w:pPr>
        <w:ind w:firstLine="562" w:firstLineChars="200"/>
        <w:rPr>
          <w:b/>
          <w:highlight w:val="none"/>
        </w:rPr>
      </w:pPr>
      <w:r>
        <w:rPr>
          <w:b/>
          <w:highlight w:val="none"/>
        </w:rPr>
        <w:t>2026-2030</w:t>
      </w:r>
      <w:r>
        <w:rPr>
          <w:rFonts w:hint="eastAsia"/>
          <w:b/>
          <w:highlight w:val="none"/>
        </w:rPr>
        <w:t>年：</w:t>
      </w:r>
    </w:p>
    <w:p>
      <w:pPr>
        <w:ind w:firstLine="562" w:firstLineChars="200"/>
        <w:rPr>
          <w:highlight w:val="none"/>
        </w:rPr>
      </w:pPr>
      <w:r>
        <w:rPr>
          <w:rFonts w:hint="eastAsia"/>
          <w:b/>
          <w:highlight w:val="none"/>
        </w:rPr>
        <w:t>打造智慧民生服务解决方案。</w:t>
      </w:r>
      <w:r>
        <w:rPr>
          <w:rFonts w:hint="eastAsia"/>
          <w:highlight w:val="none"/>
        </w:rPr>
        <w:t>服务本地的同时，形成智慧民生服务宜春样板，提升本地智慧民生服务研发运营水平，打造成熟的智慧民生解决方案，逐步向赣西区域、全省、全国辐射。</w:t>
      </w:r>
    </w:p>
    <w:p>
      <w:pPr>
        <w:pStyle w:val="5"/>
        <w:rPr>
          <w:rFonts w:ascii="黑体" w:hAnsi="黑体" w:eastAsia="黑体"/>
          <w:b w:val="0"/>
          <w:bCs w:val="0"/>
          <w:highlight w:val="none"/>
        </w:rPr>
      </w:pPr>
      <w:bookmarkStart w:id="387" w:name="_Toc514935460"/>
      <w:bookmarkStart w:id="388" w:name="_Toc528843189"/>
      <w:r>
        <w:rPr>
          <w:rFonts w:hint="eastAsia" w:ascii="黑体" w:hAnsi="黑体" w:eastAsia="黑体"/>
          <w:b w:val="0"/>
          <w:bCs w:val="0"/>
          <w:highlight w:val="none"/>
        </w:rPr>
        <w:t>1.3</w:t>
      </w:r>
      <w:bookmarkEnd w:id="387"/>
      <w:r>
        <w:rPr>
          <w:rFonts w:hint="eastAsia" w:ascii="黑体" w:hAnsi="黑体" w:eastAsia="黑体"/>
          <w:b w:val="0"/>
          <w:bCs w:val="0"/>
          <w:highlight w:val="none"/>
        </w:rPr>
        <w:t>发展城市管理大数据，打造全市智慧城市运营中心</w:t>
      </w:r>
      <w:bookmarkEnd w:id="388"/>
    </w:p>
    <w:p>
      <w:pPr>
        <w:pStyle w:val="6"/>
        <w:rPr>
          <w:bCs w:val="0"/>
          <w:highlight w:val="none"/>
        </w:rPr>
      </w:pPr>
      <w:r>
        <w:rPr>
          <w:bCs w:val="0"/>
          <w:highlight w:val="none"/>
        </w:rPr>
        <w:t xml:space="preserve">1.3.1 </w:t>
      </w:r>
      <w:r>
        <w:rPr>
          <w:rFonts w:hint="eastAsia"/>
          <w:bCs w:val="0"/>
          <w:highlight w:val="none"/>
        </w:rPr>
        <w:t>基础现状</w:t>
      </w:r>
    </w:p>
    <w:p>
      <w:pPr>
        <w:ind w:firstLine="562" w:firstLineChars="200"/>
        <w:rPr>
          <w:highlight w:val="none"/>
        </w:rPr>
      </w:pPr>
      <w:r>
        <w:rPr>
          <w:rFonts w:hint="eastAsia"/>
          <w:b/>
          <w:highlight w:val="none"/>
        </w:rPr>
        <w:t>公安机关信息化应用水平较高，但各部门间协同不足。</w:t>
      </w:r>
      <w:r>
        <w:rPr>
          <w:rFonts w:hint="eastAsia"/>
          <w:highlight w:val="none"/>
        </w:rPr>
        <w:t>实现了网络上运行、网络化管理、网兜式服务的三网建设。指挥调度系统、通知通报、</w:t>
      </w:r>
      <w:r>
        <w:rPr>
          <w:highlight w:val="none"/>
        </w:rPr>
        <w:t>110</w:t>
      </w:r>
      <w:r>
        <w:rPr>
          <w:rFonts w:hint="eastAsia"/>
          <w:highlight w:val="none"/>
        </w:rPr>
        <w:t>热线等常用系统为警务工作提供了便利。包括交警在内的公安系统市区视频监控工作有序开展，目前已接入</w:t>
      </w:r>
      <w:r>
        <w:rPr>
          <w:highlight w:val="none"/>
        </w:rPr>
        <w:t>6000</w:t>
      </w:r>
      <w:r>
        <w:rPr>
          <w:rFonts w:hint="eastAsia"/>
          <w:highlight w:val="none"/>
        </w:rPr>
        <w:t>多路政府投资公共场所摄像头。刑侦、技侦、网安等各部门系统专业化应用水平很高，但系统之间相互割裂。</w:t>
      </w:r>
    </w:p>
    <w:p>
      <w:pPr>
        <w:ind w:firstLine="562" w:firstLineChars="200"/>
        <w:rPr>
          <w:highlight w:val="none"/>
        </w:rPr>
      </w:pPr>
      <w:r>
        <w:rPr>
          <w:rFonts w:hint="eastAsia"/>
          <w:b/>
          <w:highlight w:val="none"/>
        </w:rPr>
        <w:t>交通领域信息化工具应用广泛但智能化水平不高。</w:t>
      </w:r>
      <w:r>
        <w:rPr>
          <w:rFonts w:hint="eastAsia"/>
          <w:highlight w:val="none"/>
        </w:rPr>
        <w:t>智慧交警系统实现交通视频和图片的存储收集，与省集成指挥平台实现对接。利用大数据挖掘实现了对于交通新型违法行为的自动发现，实现以图搜图功能用于侦查破案。交通运输安全监控目前仍主要靠人工的方式，监管工作效率有限，发现和处理事故速度较慢。</w:t>
      </w:r>
    </w:p>
    <w:p>
      <w:pPr>
        <w:ind w:firstLine="562" w:firstLineChars="200"/>
        <w:rPr>
          <w:highlight w:val="none"/>
        </w:rPr>
      </w:pPr>
      <w:r>
        <w:rPr>
          <w:rFonts w:hint="eastAsia"/>
          <w:b/>
          <w:highlight w:val="none"/>
        </w:rPr>
        <w:t>生态环保领域积极推进环保监测管理平台建设。</w:t>
      </w:r>
      <w:r>
        <w:rPr>
          <w:rFonts w:hint="eastAsia"/>
          <w:highlight w:val="none"/>
        </w:rPr>
        <w:t>已接入国家空气质量联网监测管理平台，建设宜春市空气质量联网监测管理平台，实现空气质量网上实时发布。建设了宜春市环境综合信息管理系统、宜春市污染源在线监控平台和宜春市机动车排污监控平台。</w:t>
      </w:r>
    </w:p>
    <w:p>
      <w:pPr>
        <w:pStyle w:val="6"/>
        <w:rPr>
          <w:highlight w:val="none"/>
        </w:rPr>
      </w:pPr>
      <w:r>
        <w:rPr>
          <w:bCs w:val="0"/>
          <w:highlight w:val="none"/>
        </w:rPr>
        <w:t xml:space="preserve">1.3.2 </w:t>
      </w:r>
      <w:r>
        <w:rPr>
          <w:rFonts w:hint="eastAsia"/>
          <w:bCs w:val="0"/>
          <w:highlight w:val="none"/>
        </w:rPr>
        <w:t>目标定位</w:t>
      </w:r>
    </w:p>
    <w:p>
      <w:pPr>
        <w:ind w:firstLine="560" w:firstLineChars="200"/>
        <w:rPr>
          <w:highlight w:val="none"/>
        </w:rPr>
      </w:pPr>
      <w:r>
        <w:rPr>
          <w:rFonts w:hint="eastAsia"/>
          <w:highlight w:val="none"/>
        </w:rPr>
        <w:t>以智慧服务基地的城市管理服务大数据板块，按照全市“云上宜春”智慧城市顶层设计，联合市直部门及市政运营公司，承载宜春市城市管理服务的建设、运维等环节，推动宜春城市管理服务的智慧化转型，继而开展智慧城市管理服务初创企业的培育、孵化工作，打造智慧城市管理服务宜春样板，推出成熟的智慧城市管理服务解决方案，并逐步对外提供产品与服务。</w:t>
      </w:r>
    </w:p>
    <w:p>
      <w:pPr>
        <w:ind w:firstLine="560" w:firstLineChars="200"/>
        <w:rPr>
          <w:highlight w:val="none"/>
        </w:rPr>
      </w:pPr>
      <w:r>
        <w:rPr>
          <w:rFonts w:hint="eastAsia"/>
          <w:highlight w:val="none"/>
        </w:rPr>
        <w:t>到</w:t>
      </w:r>
      <w:r>
        <w:rPr>
          <w:highlight w:val="none"/>
        </w:rPr>
        <w:t>2030</w:t>
      </w:r>
      <w:r>
        <w:rPr>
          <w:rFonts w:hint="eastAsia"/>
          <w:highlight w:val="none"/>
        </w:rPr>
        <w:t>年，智慧城市管理大数据企业主营业务收入达到</w:t>
      </w:r>
      <w:r>
        <w:rPr>
          <w:highlight w:val="none"/>
        </w:rPr>
        <w:t>3</w:t>
      </w:r>
      <w:r>
        <w:rPr>
          <w:rFonts w:hint="eastAsia"/>
          <w:highlight w:val="none"/>
        </w:rPr>
        <w:t>亿元，培育和引进</w:t>
      </w:r>
      <w:r>
        <w:rPr>
          <w:highlight w:val="none"/>
        </w:rPr>
        <w:t>20</w:t>
      </w:r>
      <w:r>
        <w:rPr>
          <w:rFonts w:hint="eastAsia"/>
          <w:highlight w:val="none"/>
        </w:rPr>
        <w:t>家以上省级智慧城市管理建设和运营企业，引入</w:t>
      </w:r>
      <w:r>
        <w:rPr>
          <w:highlight w:val="none"/>
        </w:rPr>
        <w:t>10</w:t>
      </w:r>
      <w:r>
        <w:rPr>
          <w:rFonts w:hint="eastAsia"/>
          <w:highlight w:val="none"/>
        </w:rPr>
        <w:t>家以上全国知名的智慧城市管理建设龙头企业，从业人员超过</w:t>
      </w:r>
      <w:r>
        <w:rPr>
          <w:highlight w:val="none"/>
        </w:rPr>
        <w:t>600</w:t>
      </w:r>
      <w:r>
        <w:rPr>
          <w:rFonts w:hint="eastAsia"/>
          <w:highlight w:val="none"/>
        </w:rPr>
        <w:t>人。结合大数据技术支撑宜春市政府大幅提升政府治理能力、监管能力和决策能力。</w:t>
      </w:r>
    </w:p>
    <w:p>
      <w:pPr>
        <w:pStyle w:val="6"/>
        <w:rPr>
          <w:highlight w:val="none"/>
        </w:rPr>
      </w:pPr>
      <w:r>
        <w:rPr>
          <w:bCs w:val="0"/>
          <w:highlight w:val="none"/>
        </w:rPr>
        <w:t xml:space="preserve">1.3.3 </w:t>
      </w:r>
      <w:r>
        <w:rPr>
          <w:rFonts w:hint="eastAsia"/>
          <w:bCs w:val="0"/>
          <w:highlight w:val="none"/>
        </w:rPr>
        <w:t>实施路径</w:t>
      </w:r>
    </w:p>
    <w:p>
      <w:pPr>
        <w:ind w:firstLine="562" w:firstLineChars="200"/>
        <w:rPr>
          <w:b/>
          <w:highlight w:val="none"/>
        </w:rPr>
      </w:pPr>
      <w:r>
        <w:rPr>
          <w:b/>
          <w:highlight w:val="none"/>
        </w:rPr>
        <w:t>2018-2020</w:t>
      </w:r>
      <w:r>
        <w:rPr>
          <w:rFonts w:hint="eastAsia"/>
          <w:b/>
          <w:highlight w:val="none"/>
        </w:rPr>
        <w:t>年：</w:t>
      </w:r>
    </w:p>
    <w:p>
      <w:pPr>
        <w:ind w:firstLine="562" w:firstLineChars="200"/>
        <w:rPr>
          <w:highlight w:val="none"/>
        </w:rPr>
      </w:pPr>
      <w:r>
        <w:rPr>
          <w:rFonts w:hint="eastAsia"/>
          <w:b/>
          <w:highlight w:val="none"/>
        </w:rPr>
        <w:t>按照宜春智慧城市顶层规划设计，选取有基础的城市管理服务领域率先突破。</w:t>
      </w:r>
      <w:r>
        <w:rPr>
          <w:rFonts w:hint="eastAsia"/>
          <w:highlight w:val="none"/>
        </w:rPr>
        <w:t>以“云上宜春”智慧城市顶层规划设计为发展纲领，针对本地有基础的城市管理领域重点研究设计，从智慧小镇管理服务着手率先突破。</w:t>
      </w:r>
    </w:p>
    <w:p>
      <w:pPr>
        <w:ind w:firstLine="562" w:firstLineChars="200"/>
        <w:rPr>
          <w:highlight w:val="none"/>
        </w:rPr>
      </w:pPr>
      <w:r>
        <w:rPr>
          <w:rFonts w:hint="eastAsia"/>
          <w:b/>
          <w:highlight w:val="none"/>
        </w:rPr>
        <w:t>在智慧小镇建设宜春智慧城市运营中心。</w:t>
      </w:r>
      <w:r>
        <w:rPr>
          <w:rFonts w:hint="eastAsia"/>
          <w:highlight w:val="none"/>
        </w:rPr>
        <w:t>建设宜春智慧城市运营管理中心、应急调度中心等，落户智慧小镇，通过部门数据联动，以综合态势一张图集中展示城市规划、能源交通、综合管理、应急指挥等应用，实现对城市运行状态的全面感知、态势预测、事件预警和决策支持，提高跨部门跨领域的协同指挥能力，形成城乡一体的公共安全、安全生产、自然灾害等应急管理体系，将智慧小镇打造为宜春市的智慧指挥大脑。</w:t>
      </w:r>
    </w:p>
    <w:p>
      <w:pPr>
        <w:ind w:firstLine="562" w:firstLineChars="200"/>
        <w:rPr>
          <w:b/>
          <w:highlight w:val="none"/>
        </w:rPr>
      </w:pPr>
      <w:r>
        <w:rPr>
          <w:b/>
          <w:highlight w:val="none"/>
        </w:rPr>
        <w:t>2021-2025</w:t>
      </w:r>
      <w:r>
        <w:rPr>
          <w:rFonts w:hint="eastAsia"/>
          <w:b/>
          <w:highlight w:val="none"/>
        </w:rPr>
        <w:t>年：</w:t>
      </w:r>
    </w:p>
    <w:p>
      <w:pPr>
        <w:ind w:firstLine="562" w:firstLineChars="200"/>
        <w:rPr>
          <w:highlight w:val="none"/>
        </w:rPr>
      </w:pPr>
      <w:r>
        <w:rPr>
          <w:rFonts w:hint="eastAsia"/>
          <w:b/>
          <w:highlight w:val="none"/>
        </w:rPr>
        <w:t>培育引进智慧城市平台型企业，发展智慧城市管理服务应用，打造智慧城市管理服务的宜春样板。</w:t>
      </w:r>
      <w:r>
        <w:rPr>
          <w:rFonts w:hint="eastAsia"/>
          <w:highlight w:val="none"/>
        </w:rPr>
        <w:t>以外地智慧城市平台型企业牵头，统筹智慧城市的整体建设节奏，联合本地信息技术企业，开展“云上宜春”智慧城市细分领域的具体建设。加快推进城市公共事业智慧化，推进公共事业机构业务协同机制建设，实现水、电、气等业务网上“一站式”集中办理。加强智慧环保建设，打造绿色低碳宜居环境，强化环境应急预防和预警系统建设。进一步加强市企业和个人信用信息平台建设，支持互联网企业利用信用信息平台管控风险，深化企业、个人征信，促进各类信用信息互动共用。</w:t>
      </w:r>
    </w:p>
    <w:p>
      <w:pPr>
        <w:ind w:firstLine="562" w:firstLineChars="200"/>
        <w:rPr>
          <w:b/>
          <w:highlight w:val="none"/>
        </w:rPr>
      </w:pPr>
      <w:r>
        <w:rPr>
          <w:b/>
          <w:highlight w:val="none"/>
        </w:rPr>
        <w:t>2026-2030</w:t>
      </w:r>
      <w:r>
        <w:rPr>
          <w:rFonts w:hint="eastAsia"/>
          <w:b/>
          <w:highlight w:val="none"/>
        </w:rPr>
        <w:t>年：</w:t>
      </w:r>
    </w:p>
    <w:p>
      <w:pPr>
        <w:ind w:firstLine="562" w:firstLineChars="200"/>
        <w:rPr>
          <w:highlight w:val="none"/>
        </w:rPr>
      </w:pPr>
      <w:r>
        <w:rPr>
          <w:rFonts w:hint="eastAsia"/>
          <w:b/>
          <w:highlight w:val="none"/>
        </w:rPr>
        <w:t>打造智慧城市管理服务解决方案。</w:t>
      </w:r>
      <w:r>
        <w:rPr>
          <w:rFonts w:hint="eastAsia"/>
          <w:highlight w:val="none"/>
        </w:rPr>
        <w:t>服务本地的同时，形成智慧城市管理服务宜春样板，提升本地智慧城市管理服务研发运营水平，打造成熟的智慧城市管理服务解决方案，逐步向赣西区域、全省、全国辐射。</w:t>
      </w:r>
    </w:p>
    <w:p>
      <w:pPr>
        <w:pStyle w:val="4"/>
        <w:rPr>
          <w:highlight w:val="none"/>
        </w:rPr>
      </w:pPr>
      <w:bookmarkStart w:id="389" w:name="_Toc528843190"/>
      <w:r>
        <w:rPr>
          <w:rFonts w:hint="eastAsia"/>
          <w:highlight w:val="none"/>
        </w:rPr>
        <w:t>（二）打造产业运营基地，促进产业转型</w:t>
      </w:r>
      <w:bookmarkEnd w:id="389"/>
    </w:p>
    <w:p>
      <w:pPr>
        <w:ind w:firstLine="560" w:firstLineChars="200"/>
        <w:rPr>
          <w:highlight w:val="none"/>
        </w:rPr>
      </w:pPr>
      <w:r>
        <w:rPr>
          <w:rFonts w:hint="eastAsia"/>
          <w:highlight w:val="none"/>
        </w:rPr>
        <w:t>围绕宜春传统优势产业打造产业运营基地，重点发展物流大数据、电商大数据和旅游大数据等新兴业态，积极促进云计算、大数据、物联网等新一代信息技术在传统工业、农业和旅游业中的广泛应用，可进一步提升本地产业价值链，推动传统产业转型升级。</w:t>
      </w:r>
    </w:p>
    <w:p>
      <w:pPr>
        <w:pStyle w:val="5"/>
        <w:spacing w:line="377" w:lineRule="auto"/>
        <w:rPr>
          <w:rFonts w:ascii="黑体" w:hAnsi="黑体" w:eastAsia="黑体"/>
          <w:highlight w:val="none"/>
        </w:rPr>
      </w:pPr>
      <w:bookmarkStart w:id="390" w:name="_Toc528843191"/>
      <w:r>
        <w:rPr>
          <w:rFonts w:hint="eastAsia" w:ascii="黑体" w:hAnsi="黑体" w:eastAsia="黑体"/>
          <w:highlight w:val="none"/>
        </w:rPr>
        <w:t>2.1发展物流大数据，打造产业提速换挡新引擎</w:t>
      </w:r>
      <w:bookmarkEnd w:id="390"/>
    </w:p>
    <w:p>
      <w:pPr>
        <w:pStyle w:val="6"/>
        <w:rPr>
          <w:highlight w:val="none"/>
        </w:rPr>
      </w:pPr>
      <w:r>
        <w:rPr>
          <w:rFonts w:hint="eastAsia"/>
          <w:highlight w:val="none"/>
        </w:rPr>
        <w:t>2.1.1</w:t>
      </w:r>
      <w:r>
        <w:rPr>
          <w:highlight w:val="none"/>
        </w:rPr>
        <w:t xml:space="preserve"> </w:t>
      </w:r>
      <w:r>
        <w:rPr>
          <w:rFonts w:hint="eastAsia"/>
          <w:highlight w:val="none"/>
        </w:rPr>
        <w:t>基础现状</w:t>
      </w:r>
    </w:p>
    <w:p>
      <w:pPr>
        <w:ind w:firstLine="560" w:firstLineChars="200"/>
        <w:rPr>
          <w:highlight w:val="none"/>
        </w:rPr>
      </w:pPr>
      <w:r>
        <w:rPr>
          <w:rFonts w:hint="eastAsia"/>
          <w:highlight w:val="none"/>
        </w:rPr>
        <w:t>现代物流业是支撑经济、社会发展的基础性、战略性产业。近年来，宜春市物流产业保持较快增长，服务能力大幅提升。在江西省推进的50个物流产业集群建设中，宜春市布局高安建筑陶瓷、丰城商贸、宜春经开区综合、樟树医药化工、万载烟花鞭炮危险品共</w:t>
      </w:r>
      <w:r>
        <w:rPr>
          <w:highlight w:val="none"/>
        </w:rPr>
        <w:t>5</w:t>
      </w:r>
      <w:r>
        <w:rPr>
          <w:rFonts w:hint="eastAsia"/>
          <w:highlight w:val="none"/>
        </w:rPr>
        <w:t>大物流产业集群，2017年，5个物流产业集群主营收入259.2亿元。截止2018年6月，宜春共有A级物流企业33家，数量居全省第二。其中4A级物流企业32家，数量居全省第一。在全省层面，宜春市物流产业定位为赣西地区重要的商贸物流中心</w:t>
      </w:r>
      <w:r>
        <w:rPr>
          <w:highlight w:val="none"/>
        </w:rPr>
        <w:t>和</w:t>
      </w:r>
      <w:r>
        <w:rPr>
          <w:rFonts w:hint="eastAsia"/>
          <w:highlight w:val="none"/>
        </w:rPr>
        <w:t>全省二级物流园区布局城市。</w:t>
      </w:r>
    </w:p>
    <w:p>
      <w:pPr>
        <w:ind w:firstLine="560" w:firstLineChars="200"/>
        <w:rPr>
          <w:highlight w:val="none"/>
        </w:rPr>
      </w:pPr>
      <w:r>
        <w:rPr>
          <w:rFonts w:hint="eastAsia"/>
          <w:highlight w:val="none"/>
        </w:rPr>
        <w:t>相对于物流产业规模的快速发展而言，宜春物流产业的信息化水平还处于起步阶段。由于信息化应用的缺失，导致供需对接差、空车率高等问题，这些都是物流产业发展急需解决的问题。利用大数据技术，建设物流信息平台，提升物流信息化水平，是解决问题、推动产业壮大发展的重要手段。</w:t>
      </w:r>
    </w:p>
    <w:p>
      <w:pPr>
        <w:pStyle w:val="6"/>
        <w:rPr>
          <w:highlight w:val="none"/>
        </w:rPr>
      </w:pPr>
      <w:r>
        <w:rPr>
          <w:rFonts w:hint="eastAsia"/>
          <w:highlight w:val="none"/>
        </w:rPr>
        <w:t>2.1</w:t>
      </w:r>
      <w:r>
        <w:rPr>
          <w:highlight w:val="none"/>
        </w:rPr>
        <w:t xml:space="preserve">.2 </w:t>
      </w:r>
      <w:r>
        <w:rPr>
          <w:rFonts w:hint="eastAsia"/>
          <w:highlight w:val="none"/>
        </w:rPr>
        <w:t>发展趋势</w:t>
      </w:r>
    </w:p>
    <w:p>
      <w:pPr>
        <w:ind w:firstLine="562" w:firstLineChars="200"/>
        <w:rPr>
          <w:highlight w:val="none"/>
        </w:rPr>
      </w:pPr>
      <w:r>
        <w:rPr>
          <w:rFonts w:hint="eastAsia"/>
          <w:b/>
          <w:highlight w:val="none"/>
        </w:rPr>
        <w:t>物流产业集群化发展。</w:t>
      </w:r>
      <w:r>
        <w:rPr>
          <w:rFonts w:hint="eastAsia"/>
          <w:highlight w:val="none"/>
        </w:rPr>
        <w:t>江西省提出“加快产业集聚、形成产业集群”的战略部署，将物流产业集群上升为省级战略，并以在全省打造5</w:t>
      </w:r>
      <w:r>
        <w:rPr>
          <w:highlight w:val="none"/>
        </w:rPr>
        <w:t>0</w:t>
      </w:r>
      <w:r>
        <w:rPr>
          <w:rFonts w:hint="eastAsia"/>
          <w:highlight w:val="none"/>
        </w:rPr>
        <w:t>个物流产业集群为抓手，推进现代化物流发展。</w:t>
      </w:r>
    </w:p>
    <w:p>
      <w:pPr>
        <w:ind w:firstLine="562" w:firstLineChars="200"/>
        <w:rPr>
          <w:highlight w:val="none"/>
        </w:rPr>
      </w:pPr>
      <w:r>
        <w:rPr>
          <w:rFonts w:hint="eastAsia"/>
          <w:b/>
          <w:highlight w:val="none"/>
        </w:rPr>
        <w:t>与其他产业协同推进。</w:t>
      </w:r>
      <w:r>
        <w:rPr>
          <w:rFonts w:hint="eastAsia"/>
          <w:highlight w:val="none"/>
        </w:rPr>
        <w:t>作为生产性服务业，物流必须与当地的工业、农业、旅游、医药、烟花爆竹等优势产业集群建设深化融合，协同推进，才能不断发展。</w:t>
      </w:r>
    </w:p>
    <w:p>
      <w:pPr>
        <w:ind w:firstLine="562" w:firstLineChars="200"/>
        <w:rPr>
          <w:highlight w:val="none"/>
        </w:rPr>
      </w:pPr>
      <w:r>
        <w:rPr>
          <w:rFonts w:hint="eastAsia"/>
          <w:b/>
          <w:highlight w:val="none"/>
        </w:rPr>
        <w:t>大力发展物流新技术。</w:t>
      </w:r>
      <w:r>
        <w:rPr>
          <w:rFonts w:hint="eastAsia"/>
          <w:highlight w:val="none"/>
        </w:rPr>
        <w:t>加强移动互联网、云计算、物联网、大数据等技术在物流领域的广泛运用，提升物流信息化水平，推进传统物流加速向现代化物流转型。</w:t>
      </w:r>
    </w:p>
    <w:p>
      <w:pPr>
        <w:pStyle w:val="6"/>
        <w:rPr>
          <w:highlight w:val="none"/>
        </w:rPr>
      </w:pPr>
      <w:r>
        <w:rPr>
          <w:rFonts w:hint="eastAsia"/>
          <w:highlight w:val="none"/>
        </w:rPr>
        <w:t>2.1</w:t>
      </w:r>
      <w:r>
        <w:rPr>
          <w:highlight w:val="none"/>
        </w:rPr>
        <w:t xml:space="preserve">.3 </w:t>
      </w:r>
      <w:r>
        <w:rPr>
          <w:rFonts w:hint="eastAsia"/>
          <w:highlight w:val="none"/>
        </w:rPr>
        <w:t>目标定位</w:t>
      </w:r>
    </w:p>
    <w:p>
      <w:pPr>
        <w:ind w:firstLine="560" w:firstLineChars="200"/>
        <w:rPr>
          <w:highlight w:val="none"/>
        </w:rPr>
      </w:pPr>
      <w:r>
        <w:rPr>
          <w:rFonts w:hint="eastAsia"/>
          <w:highlight w:val="none"/>
        </w:rPr>
        <w:t>智慧小镇发展物流产业立足物流信息化，在前期发展中面向本地市场，抢占发展先机，引入物流大数据企业，建设物流大数据应用平台，重点发展“无车承运”。与宜春市支柱型的产业园区和4</w:t>
      </w:r>
      <w:r>
        <w:rPr>
          <w:highlight w:val="none"/>
        </w:rPr>
        <w:t>A</w:t>
      </w:r>
      <w:r>
        <w:rPr>
          <w:rFonts w:hint="eastAsia"/>
          <w:highlight w:val="none"/>
        </w:rPr>
        <w:t>级物流企业及物流产业园区达成战略合作意向，为平台引入供、需资源。加强政府合作，依托宜春市政务大数据发展推进整合海关、工商、检验检疫等公共信息，为智慧小镇物流平台引入政府公共资源，打通信息壁垒，提供一站式服务。到2</w:t>
      </w:r>
      <w:r>
        <w:rPr>
          <w:highlight w:val="none"/>
        </w:rPr>
        <w:t>020</w:t>
      </w:r>
      <w:r>
        <w:rPr>
          <w:rFonts w:hint="eastAsia"/>
          <w:highlight w:val="none"/>
        </w:rPr>
        <w:t>年，引入</w:t>
      </w:r>
      <w:r>
        <w:rPr>
          <w:highlight w:val="none"/>
        </w:rPr>
        <w:t>10</w:t>
      </w:r>
      <w:r>
        <w:rPr>
          <w:rFonts w:hint="eastAsia"/>
          <w:highlight w:val="none"/>
        </w:rPr>
        <w:t>家物流大数据企业以及物流信息化服务提供商，智慧小镇物流大数据企业主营业务收入达</w:t>
      </w:r>
      <w:r>
        <w:rPr>
          <w:highlight w:val="none"/>
        </w:rPr>
        <w:t>15</w:t>
      </w:r>
      <w:r>
        <w:rPr>
          <w:rFonts w:hint="eastAsia"/>
          <w:highlight w:val="none"/>
        </w:rPr>
        <w:t>亿元，带动就业</w:t>
      </w:r>
      <w:r>
        <w:rPr>
          <w:highlight w:val="none"/>
        </w:rPr>
        <w:t>1000</w:t>
      </w:r>
      <w:r>
        <w:rPr>
          <w:rFonts w:hint="eastAsia"/>
          <w:highlight w:val="none"/>
        </w:rPr>
        <w:t>人以上，基本完成物流大数据平台建设，并具备服务本地物流产业的能力。</w:t>
      </w:r>
    </w:p>
    <w:p>
      <w:pPr>
        <w:ind w:firstLine="560" w:firstLineChars="200"/>
        <w:rPr>
          <w:highlight w:val="none"/>
        </w:rPr>
      </w:pPr>
      <w:r>
        <w:rPr>
          <w:rFonts w:hint="eastAsia"/>
          <w:highlight w:val="none"/>
        </w:rPr>
        <w:t>中期完成江西省对宜春市物流产业的定位，面向赣西地区，通过物流大数据平台为周边地市提供物流信息服务，持续引入企业，扩大智慧小镇物流信息化对赣西片区的服务能力。持续推进物流信息技术发展及应用，推进物流技术标准化建设。到2</w:t>
      </w:r>
      <w:r>
        <w:rPr>
          <w:highlight w:val="none"/>
        </w:rPr>
        <w:t>025</w:t>
      </w:r>
      <w:r>
        <w:rPr>
          <w:rFonts w:hint="eastAsia"/>
          <w:highlight w:val="none"/>
        </w:rPr>
        <w:t>年，引入</w:t>
      </w:r>
      <w:r>
        <w:rPr>
          <w:highlight w:val="none"/>
        </w:rPr>
        <w:t>15</w:t>
      </w:r>
      <w:r>
        <w:rPr>
          <w:rFonts w:hint="eastAsia"/>
          <w:highlight w:val="none"/>
        </w:rPr>
        <w:t>家物流大数据企业以及物流信息化服务提供商，智慧小镇物流大数据企业主营业务收入达</w:t>
      </w:r>
      <w:r>
        <w:rPr>
          <w:highlight w:val="none"/>
        </w:rPr>
        <w:t>40</w:t>
      </w:r>
      <w:r>
        <w:rPr>
          <w:rFonts w:hint="eastAsia"/>
          <w:highlight w:val="none"/>
        </w:rPr>
        <w:t>亿元，带动就业</w:t>
      </w:r>
      <w:r>
        <w:rPr>
          <w:highlight w:val="none"/>
        </w:rPr>
        <w:t>1500</w:t>
      </w:r>
      <w:r>
        <w:rPr>
          <w:rFonts w:hint="eastAsia"/>
          <w:highlight w:val="none"/>
        </w:rPr>
        <w:t>人以上，物流大数据产业具备一定规模，拥有服务赣西地区的业务能力。</w:t>
      </w:r>
    </w:p>
    <w:p>
      <w:pPr>
        <w:ind w:firstLine="560" w:firstLineChars="200"/>
        <w:rPr>
          <w:highlight w:val="none"/>
        </w:rPr>
      </w:pPr>
      <w:r>
        <w:rPr>
          <w:rFonts w:hint="eastAsia"/>
          <w:highlight w:val="none"/>
        </w:rPr>
        <w:t>后期进一步扩大产业规模，占领江西省物流产业发展高地。积极探索物流新业务，针对</w:t>
      </w:r>
      <w:r>
        <w:rPr>
          <w:rFonts w:hint="eastAsia" w:ascii="仿宋_GB2312"/>
          <w:highlight w:val="none"/>
        </w:rPr>
        <w:t>海量物流行业数据、车辆、货源、运单等数据进行大数据分析挖掘，通过对接商业银行和社会</w:t>
      </w:r>
      <w:r>
        <w:rPr>
          <w:rFonts w:hint="eastAsia"/>
          <w:highlight w:val="none"/>
        </w:rPr>
        <w:t>资本，为供应链企业的金融需求提供征信、担保服务，探索发展供应链金融。到2</w:t>
      </w:r>
      <w:r>
        <w:rPr>
          <w:highlight w:val="none"/>
        </w:rPr>
        <w:t>0</w:t>
      </w:r>
      <w:r>
        <w:rPr>
          <w:rFonts w:hint="eastAsia"/>
          <w:highlight w:val="none"/>
        </w:rPr>
        <w:t>30年，引入</w:t>
      </w:r>
      <w:r>
        <w:rPr>
          <w:highlight w:val="none"/>
        </w:rPr>
        <w:t>20</w:t>
      </w:r>
      <w:r>
        <w:rPr>
          <w:rFonts w:hint="eastAsia"/>
          <w:highlight w:val="none"/>
        </w:rPr>
        <w:t>家物流大数据企业以及物流信息化服务提供商，智慧小镇物流大数据企业主营业务收入达</w:t>
      </w:r>
      <w:r>
        <w:rPr>
          <w:highlight w:val="none"/>
        </w:rPr>
        <w:t>60</w:t>
      </w:r>
      <w:r>
        <w:rPr>
          <w:rFonts w:hint="eastAsia"/>
          <w:highlight w:val="none"/>
        </w:rPr>
        <w:t>亿元，带动就业</w:t>
      </w:r>
      <w:r>
        <w:rPr>
          <w:highlight w:val="none"/>
        </w:rPr>
        <w:t>2000</w:t>
      </w:r>
      <w:r>
        <w:rPr>
          <w:rFonts w:hint="eastAsia"/>
          <w:highlight w:val="none"/>
        </w:rPr>
        <w:t>人以上，将智慧小镇打造成国家级示范物流园区、省级物流产业集群。</w:t>
      </w:r>
    </w:p>
    <w:p>
      <w:pPr>
        <w:pStyle w:val="6"/>
        <w:rPr>
          <w:highlight w:val="none"/>
        </w:rPr>
      </w:pPr>
      <w:r>
        <w:rPr>
          <w:rFonts w:hint="eastAsia"/>
          <w:highlight w:val="none"/>
        </w:rPr>
        <w:t>2.1.</w:t>
      </w:r>
      <w:r>
        <w:rPr>
          <w:highlight w:val="none"/>
        </w:rPr>
        <w:t xml:space="preserve">4 </w:t>
      </w:r>
      <w:r>
        <w:rPr>
          <w:rFonts w:hint="eastAsia"/>
          <w:highlight w:val="none"/>
        </w:rPr>
        <w:t>实施路径</w:t>
      </w:r>
    </w:p>
    <w:p>
      <w:pPr>
        <w:ind w:firstLine="562" w:firstLineChars="200"/>
        <w:rPr>
          <w:b/>
          <w:highlight w:val="none"/>
        </w:rPr>
      </w:pPr>
      <w:r>
        <w:rPr>
          <w:b/>
          <w:highlight w:val="none"/>
        </w:rPr>
        <w:t>2018-2020</w:t>
      </w:r>
      <w:r>
        <w:rPr>
          <w:rFonts w:hint="eastAsia"/>
          <w:b/>
          <w:highlight w:val="none"/>
        </w:rPr>
        <w:t>年：</w:t>
      </w:r>
    </w:p>
    <w:p>
      <w:pPr>
        <w:ind w:firstLine="562" w:firstLineChars="200"/>
        <w:rPr>
          <w:highlight w:val="none"/>
        </w:rPr>
      </w:pPr>
      <w:r>
        <w:rPr>
          <w:rFonts w:hint="eastAsia" w:ascii="Times New Roman" w:hAnsi="Times New Roman" w:cs="Times New Roman"/>
          <w:b/>
          <w:highlight w:val="none"/>
        </w:rPr>
        <w:t>招商引进物流大数据企业、引入本地物流供需资源、建设物流大数据平台。</w:t>
      </w:r>
      <w:r>
        <w:rPr>
          <w:rFonts w:hint="eastAsia"/>
          <w:highlight w:val="none"/>
        </w:rPr>
        <w:t>引入菜鸟、传化物流、上海博科资讯股份有限公司、货车帮等企业，布局物流大数据领域。发展“无车承运”，与高安、丰城、宜春经开区、樟树医药化工、万载烟花鞭炮等物流产业集群就物流大数据平台建设形成战略合作意向，引入运力资源；与袁州工业园区、万载工业园、樟树工业园等实体产业园区达成战略合作，引入物流需求。</w:t>
      </w:r>
    </w:p>
    <w:p>
      <w:pPr>
        <w:ind w:firstLine="562" w:firstLineChars="200"/>
        <w:rPr>
          <w:highlight w:val="none"/>
        </w:rPr>
      </w:pPr>
      <w:r>
        <w:rPr>
          <w:rFonts w:hint="eastAsia" w:ascii="Times New Roman" w:hAnsi="Times New Roman" w:cs="Times New Roman"/>
          <w:b/>
          <w:highlight w:val="none"/>
        </w:rPr>
        <w:t>加强与政府及行业的合作。</w:t>
      </w:r>
      <w:r>
        <w:rPr>
          <w:rFonts w:hint="eastAsia"/>
          <w:highlight w:val="none"/>
        </w:rPr>
        <w:t>依托宜春市政务大数据，引入政府公共资源，整合运输、海关、税务、工商、检验检疫等相关数据资源，提供物流公共管理信息、物流业务信息交换和物流企业信息处理一站式服务。</w:t>
      </w:r>
    </w:p>
    <w:p>
      <w:pPr>
        <w:ind w:firstLine="562" w:firstLineChars="200"/>
        <w:rPr>
          <w:b/>
          <w:highlight w:val="none"/>
        </w:rPr>
      </w:pPr>
      <w:r>
        <w:rPr>
          <w:rFonts w:hint="eastAsia"/>
          <w:b/>
          <w:highlight w:val="none"/>
        </w:rPr>
        <w:t>2</w:t>
      </w:r>
      <w:r>
        <w:rPr>
          <w:b/>
          <w:highlight w:val="none"/>
        </w:rPr>
        <w:t>021</w:t>
      </w:r>
      <w:r>
        <w:rPr>
          <w:rFonts w:hint="eastAsia"/>
          <w:b/>
          <w:highlight w:val="none"/>
        </w:rPr>
        <w:t>-</w:t>
      </w:r>
      <w:r>
        <w:rPr>
          <w:b/>
          <w:highlight w:val="none"/>
        </w:rPr>
        <w:t>2025</w:t>
      </w:r>
      <w:r>
        <w:rPr>
          <w:rFonts w:hint="eastAsia"/>
          <w:b/>
          <w:highlight w:val="none"/>
        </w:rPr>
        <w:t>年：</w:t>
      </w:r>
    </w:p>
    <w:p>
      <w:pPr>
        <w:ind w:firstLine="562" w:firstLineChars="200"/>
        <w:rPr>
          <w:highlight w:val="none"/>
        </w:rPr>
      </w:pPr>
      <w:r>
        <w:rPr>
          <w:rFonts w:hint="eastAsia"/>
          <w:b/>
          <w:highlight w:val="none"/>
        </w:rPr>
        <w:t>持续推进平台资源对接。</w:t>
      </w:r>
      <w:r>
        <w:rPr>
          <w:rFonts w:hint="eastAsia"/>
          <w:highlight w:val="none"/>
        </w:rPr>
        <w:t>加强与省、国家物流公共信息平台的对接，形成通联各地、线上线下一体的物流云平台，推动多种运输方式间信息互联与共享，促进货源、车源和物流服务等信息的高效匹配，有效降低货车空驶率。</w:t>
      </w:r>
    </w:p>
    <w:p>
      <w:pPr>
        <w:ind w:firstLine="562" w:firstLineChars="200"/>
        <w:rPr>
          <w:highlight w:val="none"/>
        </w:rPr>
      </w:pPr>
      <w:r>
        <w:rPr>
          <w:rFonts w:hint="eastAsia"/>
          <w:b/>
          <w:highlight w:val="none"/>
        </w:rPr>
        <w:t>大力发展物流信息技术。</w:t>
      </w:r>
      <w:r>
        <w:rPr>
          <w:rFonts w:hint="eastAsia"/>
          <w:highlight w:val="none"/>
        </w:rPr>
        <w:t>深入实施“互联网＋”高效物流行动，构建多层次物流信息服务平台，发展经营范围广、辐射能力强的综合信息平台、公共数据平台和信息交易平台。运用市场化方式，提升物流园区、仓储配送中心、末端配送站点信息化、智能化水平。推广物联网、云计算、大数据、人工智能、机器人、无线射频识别等先进技术的应用，促进全流程信息共享，提高供应链精益化管理水平。积极探索物流技术标准化，以市场为主体，加快形成覆盖仓储、运输、装卸、搬运、包装、分拣、配送等环节的标准体系。</w:t>
      </w:r>
    </w:p>
    <w:p>
      <w:pPr>
        <w:ind w:firstLine="562" w:firstLineChars="200"/>
        <w:rPr>
          <w:b/>
          <w:highlight w:val="none"/>
        </w:rPr>
      </w:pPr>
      <w:r>
        <w:rPr>
          <w:b/>
          <w:highlight w:val="none"/>
        </w:rPr>
        <w:t>2026-2030</w:t>
      </w:r>
      <w:r>
        <w:rPr>
          <w:rFonts w:hint="eastAsia"/>
          <w:b/>
          <w:highlight w:val="none"/>
        </w:rPr>
        <w:t>年：</w:t>
      </w:r>
    </w:p>
    <w:p>
      <w:pPr>
        <w:ind w:firstLine="562" w:firstLineChars="200"/>
        <w:rPr>
          <w:highlight w:val="none"/>
        </w:rPr>
      </w:pPr>
      <w:r>
        <w:rPr>
          <w:rFonts w:hint="eastAsia"/>
          <w:b/>
          <w:highlight w:val="none"/>
        </w:rPr>
        <w:t>持续推进产业发展，形成江西省物流信息化重要服务基地。</w:t>
      </w:r>
      <w:r>
        <w:rPr>
          <w:rFonts w:hint="eastAsia"/>
          <w:highlight w:val="none"/>
        </w:rPr>
        <w:t>持续引进一批高效提供综合物流服务的第四方物流企业，提供信息咨询、订单管理、物料配送、仓储服务等定制化服务。积极探索将物流平台海量数据大数据分析应用于供应链金融等新业态，打造智慧物流生态体系。</w:t>
      </w:r>
    </w:p>
    <w:p>
      <w:pPr>
        <w:pStyle w:val="5"/>
        <w:spacing w:line="377" w:lineRule="auto"/>
        <w:rPr>
          <w:rFonts w:ascii="黑体" w:hAnsi="黑体" w:eastAsia="黑体"/>
          <w:highlight w:val="none"/>
        </w:rPr>
      </w:pPr>
      <w:bookmarkStart w:id="391" w:name="_Toc528843192"/>
      <w:r>
        <w:rPr>
          <w:rFonts w:hint="eastAsia" w:ascii="黑体" w:hAnsi="黑体" w:eastAsia="黑体"/>
          <w:highlight w:val="none"/>
        </w:rPr>
        <w:t>2.2发展电商大数据，打造服务经济社会新能力</w:t>
      </w:r>
      <w:bookmarkEnd w:id="391"/>
    </w:p>
    <w:p>
      <w:pPr>
        <w:pStyle w:val="6"/>
        <w:rPr>
          <w:highlight w:val="none"/>
        </w:rPr>
      </w:pPr>
      <w:r>
        <w:rPr>
          <w:rFonts w:hint="eastAsia"/>
          <w:highlight w:val="none"/>
        </w:rPr>
        <w:t>2.2.1</w:t>
      </w:r>
      <w:r>
        <w:rPr>
          <w:highlight w:val="none"/>
        </w:rPr>
        <w:t xml:space="preserve"> </w:t>
      </w:r>
      <w:r>
        <w:rPr>
          <w:rFonts w:hint="eastAsia"/>
          <w:highlight w:val="none"/>
        </w:rPr>
        <w:t>基础现状</w:t>
      </w:r>
    </w:p>
    <w:p>
      <w:pPr>
        <w:ind w:firstLine="560" w:firstLineChars="200"/>
        <w:rPr>
          <w:highlight w:val="none"/>
        </w:rPr>
      </w:pPr>
      <w:r>
        <w:rPr>
          <w:rFonts w:hint="eastAsia"/>
          <w:highlight w:val="none"/>
        </w:rPr>
        <w:t>电子商务进入快速发展新阶段。阿里巴巴、京东、苏宁易购等国内知名电商平台已入驻宜春市。淘宝、京东两大特色馆自开业以来，已累计实现交易额1.05亿元。新建“邮乐购”电商脱贫站7个，“供销e家”电商服务站15个。2017年，宜春市电子商务交易额预计突破429亿元，同比增长35.3%，保持高速增长态势。</w:t>
      </w:r>
    </w:p>
    <w:p>
      <w:pPr>
        <w:ind w:firstLine="560" w:firstLineChars="200"/>
        <w:rPr>
          <w:highlight w:val="none"/>
        </w:rPr>
      </w:pPr>
      <w:r>
        <w:rPr>
          <w:rFonts w:hint="eastAsia"/>
          <w:highlight w:val="none"/>
        </w:rPr>
        <w:t>电商成为经济增长新引擎。医药、锂电等产业电商应用推进有力，樟树医药、宜春锂电B2B电商销售快速增长。农村电商成为县域及农村发展新动力，重塑了农产品流通模式，加速了城乡资源要素的流通和聚集，为促进县域经济转型、加快农业现代化建设提供了新动力。</w:t>
      </w:r>
    </w:p>
    <w:p>
      <w:pPr>
        <w:pStyle w:val="6"/>
        <w:rPr>
          <w:highlight w:val="none"/>
        </w:rPr>
      </w:pPr>
      <w:r>
        <w:rPr>
          <w:rFonts w:hint="eastAsia"/>
          <w:highlight w:val="none"/>
        </w:rPr>
        <w:t>2.2</w:t>
      </w:r>
      <w:r>
        <w:rPr>
          <w:highlight w:val="none"/>
        </w:rPr>
        <w:t xml:space="preserve">.2 </w:t>
      </w:r>
      <w:r>
        <w:rPr>
          <w:rFonts w:hint="eastAsia"/>
          <w:highlight w:val="none"/>
        </w:rPr>
        <w:t>发展趋势</w:t>
      </w:r>
    </w:p>
    <w:p>
      <w:pPr>
        <w:ind w:firstLine="560" w:firstLineChars="200"/>
        <w:rPr>
          <w:highlight w:val="none"/>
        </w:rPr>
      </w:pPr>
      <w:r>
        <w:rPr>
          <w:rFonts w:hint="eastAsia"/>
          <w:highlight w:val="none"/>
        </w:rPr>
        <w:t>优势产业电子商务应用逐步深入。利用电子商务促进锂电新能源、生物医药、农产品、旅游等优势产业快速发展。</w:t>
      </w:r>
    </w:p>
    <w:p>
      <w:pPr>
        <w:ind w:firstLine="560" w:firstLineChars="200"/>
        <w:rPr>
          <w:highlight w:val="none"/>
        </w:rPr>
      </w:pPr>
      <w:r>
        <w:rPr>
          <w:rFonts w:hint="eastAsia"/>
          <w:highlight w:val="none"/>
        </w:rPr>
        <w:t>农村电商蓬勃发展。随着农村问题成为政府工作焦点，农村电商逐渐成为释放农村消费力、开启万亿新兴市场的新动能。预计2</w:t>
      </w:r>
      <w:r>
        <w:rPr>
          <w:highlight w:val="none"/>
        </w:rPr>
        <w:t>018</w:t>
      </w:r>
      <w:r>
        <w:rPr>
          <w:rFonts w:hint="eastAsia"/>
          <w:highlight w:val="none"/>
        </w:rPr>
        <w:t>年，我国农村电商的规模有望突破1</w:t>
      </w:r>
      <w:r>
        <w:rPr>
          <w:highlight w:val="none"/>
        </w:rPr>
        <w:t>.2</w:t>
      </w:r>
      <w:r>
        <w:rPr>
          <w:rFonts w:hint="eastAsia"/>
          <w:highlight w:val="none"/>
        </w:rPr>
        <w:t>万亿元，农村电商的快速发展将带动农村物流、农村金融保险服务、农村基础设施建设等相关配套产业的发展。</w:t>
      </w:r>
    </w:p>
    <w:p>
      <w:pPr>
        <w:ind w:firstLine="560" w:firstLineChars="200"/>
        <w:rPr>
          <w:highlight w:val="none"/>
        </w:rPr>
      </w:pPr>
      <w:r>
        <w:rPr>
          <w:rFonts w:hint="eastAsia"/>
          <w:highlight w:val="none"/>
        </w:rPr>
        <w:t>电商物流建设趋于一体化。整合电商平台和物流聚集区，进一步完善生产性服务业链条，包括平台交易服务、仓储物流服务、软件开发、电子认证、信用服务和第三方支付等较完整的产业服务链条，成为电商发展的新趋势。</w:t>
      </w:r>
    </w:p>
    <w:p>
      <w:pPr>
        <w:pStyle w:val="6"/>
        <w:rPr>
          <w:highlight w:val="none"/>
        </w:rPr>
      </w:pPr>
      <w:r>
        <w:rPr>
          <w:rFonts w:hint="eastAsia"/>
          <w:highlight w:val="none"/>
        </w:rPr>
        <w:t>2.2</w:t>
      </w:r>
      <w:r>
        <w:rPr>
          <w:highlight w:val="none"/>
        </w:rPr>
        <w:t xml:space="preserve">.3 </w:t>
      </w:r>
      <w:r>
        <w:rPr>
          <w:rFonts w:hint="eastAsia"/>
          <w:highlight w:val="none"/>
        </w:rPr>
        <w:t>目标定位</w:t>
      </w:r>
    </w:p>
    <w:p>
      <w:pPr>
        <w:ind w:firstLine="560" w:firstLineChars="200"/>
        <w:rPr>
          <w:highlight w:val="none"/>
        </w:rPr>
      </w:pPr>
      <w:r>
        <w:rPr>
          <w:rFonts w:hint="eastAsia"/>
          <w:highlight w:val="none"/>
        </w:rPr>
        <w:t>智慧小镇发展电商大数据立足于构建集约化、规模化、专业化的电商生态圈。发展初期，重点引入电商企业，整合宜春市优势产业资源，重点发展供应链电商。依托本地产业积极探索电商新业态。到202</w:t>
      </w:r>
      <w:r>
        <w:rPr>
          <w:highlight w:val="none"/>
        </w:rPr>
        <w:t>0</w:t>
      </w:r>
      <w:r>
        <w:rPr>
          <w:rFonts w:hint="eastAsia"/>
          <w:highlight w:val="none"/>
        </w:rPr>
        <w:t>年，智慧小镇电子商务交易额达</w:t>
      </w:r>
      <w:r>
        <w:rPr>
          <w:highlight w:val="none"/>
        </w:rPr>
        <w:t>470</w:t>
      </w:r>
      <w:r>
        <w:rPr>
          <w:rFonts w:hint="eastAsia"/>
          <w:highlight w:val="none"/>
        </w:rPr>
        <w:t>亿元，电子商务企业营业收入达</w:t>
      </w:r>
      <w:r>
        <w:rPr>
          <w:highlight w:val="none"/>
        </w:rPr>
        <w:t>15</w:t>
      </w:r>
      <w:r>
        <w:rPr>
          <w:rFonts w:hint="eastAsia"/>
          <w:highlight w:val="none"/>
        </w:rPr>
        <w:t>亿元，引入</w:t>
      </w:r>
      <w:r>
        <w:rPr>
          <w:highlight w:val="none"/>
        </w:rPr>
        <w:t>10</w:t>
      </w:r>
      <w:r>
        <w:rPr>
          <w:rFonts w:hint="eastAsia"/>
          <w:highlight w:val="none"/>
        </w:rPr>
        <w:t>家国内知名电子商务企业，带动就业</w:t>
      </w:r>
      <w:r>
        <w:rPr>
          <w:highlight w:val="none"/>
        </w:rPr>
        <w:t>1000</w:t>
      </w:r>
      <w:r>
        <w:rPr>
          <w:rFonts w:hint="eastAsia"/>
          <w:highlight w:val="none"/>
        </w:rPr>
        <w:t>人以上，基本形成具有本地产业特色的电商服务生态圈。</w:t>
      </w:r>
    </w:p>
    <w:p>
      <w:pPr>
        <w:ind w:firstLine="560" w:firstLineChars="200"/>
        <w:rPr>
          <w:highlight w:val="none"/>
        </w:rPr>
      </w:pPr>
      <w:r>
        <w:rPr>
          <w:rFonts w:hint="eastAsia"/>
          <w:highlight w:val="none"/>
        </w:rPr>
        <w:t>中期智慧小镇电商定位于建设电商技术生态体系。重点建设电商大数据平台，基于平台海量数据进行大数据分析，为电商企业提供解决方案。到2025年，智慧小镇电子商务交易额达</w:t>
      </w:r>
      <w:r>
        <w:rPr>
          <w:highlight w:val="none"/>
        </w:rPr>
        <w:t>1400</w:t>
      </w:r>
      <w:r>
        <w:rPr>
          <w:rFonts w:hint="eastAsia"/>
          <w:highlight w:val="none"/>
        </w:rPr>
        <w:t>亿元，电子商务企业营业收入达</w:t>
      </w:r>
      <w:r>
        <w:rPr>
          <w:highlight w:val="none"/>
        </w:rPr>
        <w:t>60</w:t>
      </w:r>
      <w:r>
        <w:rPr>
          <w:rFonts w:hint="eastAsia"/>
          <w:highlight w:val="none"/>
        </w:rPr>
        <w:t>亿元，引入</w:t>
      </w:r>
      <w:r>
        <w:rPr>
          <w:highlight w:val="none"/>
        </w:rPr>
        <w:t>15</w:t>
      </w:r>
      <w:r>
        <w:rPr>
          <w:rFonts w:hint="eastAsia"/>
          <w:highlight w:val="none"/>
        </w:rPr>
        <w:t>家国内知名电子商务企业，带动就业</w:t>
      </w:r>
      <w:r>
        <w:rPr>
          <w:highlight w:val="none"/>
        </w:rPr>
        <w:t>2000</w:t>
      </w:r>
      <w:r>
        <w:rPr>
          <w:rFonts w:hint="eastAsia"/>
          <w:highlight w:val="none"/>
        </w:rPr>
        <w:t>人以上。</w:t>
      </w:r>
    </w:p>
    <w:p>
      <w:pPr>
        <w:ind w:firstLine="560" w:firstLineChars="200"/>
        <w:rPr>
          <w:highlight w:val="none"/>
        </w:rPr>
      </w:pPr>
      <w:r>
        <w:rPr>
          <w:rFonts w:hint="eastAsia"/>
          <w:highlight w:val="none"/>
        </w:rPr>
        <w:t>后期智慧小镇电商定位于利用电商大数据分析推动制造业生产模式创新、产业升级。到20</w:t>
      </w:r>
      <w:r>
        <w:rPr>
          <w:highlight w:val="none"/>
        </w:rPr>
        <w:t>30</w:t>
      </w:r>
      <w:r>
        <w:rPr>
          <w:rFonts w:hint="eastAsia"/>
          <w:highlight w:val="none"/>
        </w:rPr>
        <w:t>年，智慧小镇电子商务交易额达</w:t>
      </w:r>
      <w:r>
        <w:rPr>
          <w:highlight w:val="none"/>
        </w:rPr>
        <w:t>2600</w:t>
      </w:r>
      <w:r>
        <w:rPr>
          <w:rFonts w:hint="eastAsia"/>
          <w:highlight w:val="none"/>
        </w:rPr>
        <w:t>亿元，电子商务企业营业收入达</w:t>
      </w:r>
      <w:r>
        <w:rPr>
          <w:highlight w:val="none"/>
        </w:rPr>
        <w:t>100</w:t>
      </w:r>
      <w:r>
        <w:rPr>
          <w:rFonts w:hint="eastAsia"/>
          <w:highlight w:val="none"/>
        </w:rPr>
        <w:t>亿元，引入</w:t>
      </w:r>
      <w:r>
        <w:rPr>
          <w:highlight w:val="none"/>
        </w:rPr>
        <w:t>25</w:t>
      </w:r>
      <w:r>
        <w:rPr>
          <w:rFonts w:hint="eastAsia"/>
          <w:highlight w:val="none"/>
        </w:rPr>
        <w:t>家国内知名电子商务企业，带动就业</w:t>
      </w:r>
      <w:r>
        <w:rPr>
          <w:highlight w:val="none"/>
        </w:rPr>
        <w:t>3500</w:t>
      </w:r>
      <w:r>
        <w:rPr>
          <w:rFonts w:hint="eastAsia"/>
          <w:highlight w:val="none"/>
        </w:rPr>
        <w:t>人以上，将智慧小镇建设成为国家级电子商务示范基地、江西省电子商务重要聚集地。</w:t>
      </w:r>
    </w:p>
    <w:p>
      <w:pPr>
        <w:pStyle w:val="6"/>
        <w:rPr>
          <w:highlight w:val="none"/>
        </w:rPr>
      </w:pPr>
      <w:r>
        <w:rPr>
          <w:rFonts w:hint="eastAsia"/>
          <w:highlight w:val="none"/>
        </w:rPr>
        <w:t>2.2.</w:t>
      </w:r>
      <w:r>
        <w:rPr>
          <w:highlight w:val="none"/>
        </w:rPr>
        <w:t xml:space="preserve">4 </w:t>
      </w:r>
      <w:r>
        <w:rPr>
          <w:rFonts w:hint="eastAsia"/>
          <w:highlight w:val="none"/>
        </w:rPr>
        <w:t>实施路径</w:t>
      </w:r>
    </w:p>
    <w:p>
      <w:pPr>
        <w:ind w:firstLine="562" w:firstLineChars="200"/>
        <w:rPr>
          <w:rFonts w:ascii="Times New Roman" w:hAnsi="Times New Roman" w:cs="Times New Roman"/>
          <w:b/>
          <w:highlight w:val="none"/>
        </w:rPr>
      </w:pPr>
      <w:r>
        <w:rPr>
          <w:rFonts w:ascii="Times New Roman" w:hAnsi="Times New Roman" w:cs="Times New Roman"/>
          <w:b/>
          <w:highlight w:val="none"/>
        </w:rPr>
        <w:t>2018-2020</w:t>
      </w:r>
      <w:r>
        <w:rPr>
          <w:rFonts w:hint="eastAsia" w:ascii="Times New Roman" w:hAnsi="Times New Roman" w:cs="Times New Roman"/>
          <w:b/>
          <w:highlight w:val="none"/>
        </w:rPr>
        <w:t>年：</w:t>
      </w:r>
    </w:p>
    <w:p>
      <w:pPr>
        <w:ind w:firstLine="562" w:firstLineChars="200"/>
        <w:rPr>
          <w:highlight w:val="none"/>
        </w:rPr>
      </w:pPr>
      <w:r>
        <w:rPr>
          <w:rFonts w:hint="eastAsia" w:ascii="Times New Roman" w:hAnsi="Times New Roman" w:cs="Times New Roman"/>
          <w:b/>
          <w:highlight w:val="none"/>
        </w:rPr>
        <w:t>建设供应链电商平台。</w:t>
      </w:r>
      <w:r>
        <w:rPr>
          <w:rFonts w:hint="eastAsia"/>
          <w:highlight w:val="none"/>
        </w:rPr>
        <w:t>积极引入阿里巴巴、中国网库、慧聪网等知名电商企业，重点建设中医药、锂电新能源、陶瓷产业等供应链电商平台，汇聚覆盖全产业链各环节的企业，提供产品标准化展示、透明比价、产品品质管理等功能，为全产业链上下游企业提供一站式采购服务。</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加强与本地园区在电商领域的合作。</w:t>
      </w:r>
      <w:r>
        <w:rPr>
          <w:rFonts w:hint="eastAsia"/>
          <w:highlight w:val="none"/>
        </w:rPr>
        <w:t>加强与袁州区工业园、樟树工业园、宜春经济开发区、万载工业园的合作，在产业集中度高的园区推广平台应用，形成制造业与生产性服务业之间强强联合的发展局面，提供集约化、规范化、高水平的电商服务，为企业降本增效。</w:t>
      </w:r>
    </w:p>
    <w:p>
      <w:pPr>
        <w:ind w:firstLine="562" w:firstLineChars="200"/>
        <w:rPr>
          <w:highlight w:val="none"/>
        </w:rPr>
      </w:pPr>
      <w:r>
        <w:rPr>
          <w:rFonts w:hint="eastAsia" w:ascii="Times New Roman" w:hAnsi="Times New Roman" w:cs="Times New Roman"/>
          <w:b/>
          <w:highlight w:val="none"/>
        </w:rPr>
        <w:t>探索电商新模式。</w:t>
      </w:r>
      <w:r>
        <w:rPr>
          <w:rFonts w:hint="eastAsia"/>
          <w:highlight w:val="none"/>
        </w:rPr>
        <w:t>整合宜春本地的种养殖、物流、线上线下支付等资源，重点建设面向本地的生鲜农产品网上直销平台，为城市居民用户提供生鲜果蔬当日达服务，探索电子商务新生态。</w:t>
      </w:r>
    </w:p>
    <w:p>
      <w:pPr>
        <w:ind w:firstLine="562" w:firstLineChars="200"/>
        <w:rPr>
          <w:rFonts w:ascii="Times New Roman" w:hAnsi="Times New Roman" w:cs="Times New Roman"/>
          <w:b/>
          <w:highlight w:val="none"/>
        </w:rPr>
      </w:pPr>
      <w:r>
        <w:rPr>
          <w:rFonts w:ascii="Times New Roman" w:hAnsi="Times New Roman" w:cs="Times New Roman"/>
          <w:b/>
          <w:highlight w:val="none"/>
        </w:rPr>
        <w:t>2021-2025</w:t>
      </w:r>
      <w:r>
        <w:rPr>
          <w:rFonts w:hint="eastAsia" w:ascii="Times New Roman" w:hAnsi="Times New Roman" w:cs="Times New Roman"/>
          <w:b/>
          <w:highlight w:val="none"/>
        </w:rPr>
        <w:t>年：</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扩大电商平台应用领域。</w:t>
      </w:r>
      <w:r>
        <w:rPr>
          <w:rFonts w:hint="eastAsia"/>
          <w:highlight w:val="none"/>
        </w:rPr>
        <w:t>根据电商平台的推广使用效果以及其他传统产业的需求，稳步推进电商平台的建设以及覆盖领域。</w:t>
      </w:r>
    </w:p>
    <w:p>
      <w:pPr>
        <w:ind w:firstLine="562" w:firstLineChars="200"/>
        <w:rPr>
          <w:highlight w:val="none"/>
        </w:rPr>
      </w:pPr>
      <w:r>
        <w:rPr>
          <w:rFonts w:hint="eastAsia" w:ascii="Times New Roman" w:hAnsi="Times New Roman" w:cs="Times New Roman"/>
          <w:b/>
          <w:highlight w:val="none"/>
        </w:rPr>
        <w:t>完善智慧小镇电商大数据生态建设。</w:t>
      </w:r>
      <w:r>
        <w:rPr>
          <w:rFonts w:hint="eastAsia"/>
          <w:highlight w:val="none"/>
        </w:rPr>
        <w:t>建设电商大数据分析平台，对电商平台线上线下产生的交易、采购、仓储、物流、供应链融资、财务结算数据进行信息清洗、加工和整合，结合用户信息、消费记录、浏览行为以及满意度等海量数据，利用大数据技术手段进行数据挖掘，为企业提供用户行为分析（买什么、何时买、哪里买、供多少等）、物流配送管理（物流站点设计、配送线路设计）、供应链管理（仓库管理、库存控制）、金融分析（用户信用评估、风险评估）等服务，帮助电商企业对存在的问题提供解决方案，为电商平台流程优化、组织优化提供支持，形成电子商务技术服务产业生态。</w:t>
      </w:r>
    </w:p>
    <w:p>
      <w:pPr>
        <w:ind w:firstLine="562" w:firstLineChars="200"/>
        <w:rPr>
          <w:rFonts w:ascii="Times New Roman" w:hAnsi="Times New Roman" w:cs="Times New Roman"/>
          <w:b/>
          <w:highlight w:val="none"/>
        </w:rPr>
      </w:pPr>
      <w:r>
        <w:rPr>
          <w:rFonts w:ascii="Times New Roman" w:hAnsi="Times New Roman" w:cs="Times New Roman"/>
          <w:b/>
          <w:highlight w:val="none"/>
        </w:rPr>
        <w:t>2026-2030</w:t>
      </w:r>
      <w:r>
        <w:rPr>
          <w:rFonts w:hint="eastAsia" w:ascii="Times New Roman" w:hAnsi="Times New Roman" w:cs="Times New Roman"/>
          <w:b/>
          <w:highlight w:val="none"/>
        </w:rPr>
        <w:t>年：</w:t>
      </w:r>
    </w:p>
    <w:p>
      <w:pPr>
        <w:ind w:firstLine="562" w:firstLineChars="200"/>
        <w:rPr>
          <w:highlight w:val="none"/>
        </w:rPr>
      </w:pPr>
      <w:r>
        <w:rPr>
          <w:rFonts w:hint="eastAsia"/>
          <w:b/>
          <w:highlight w:val="none"/>
        </w:rPr>
        <w:t>发展电商新技术。</w:t>
      </w:r>
      <w:r>
        <w:rPr>
          <w:rFonts w:hint="eastAsia"/>
          <w:highlight w:val="none"/>
        </w:rPr>
        <w:t>围绕电子商务大生态体系建设，以云计算、大数据、物联网、虚拟现实、区块链、人工智能、机器人等各类新技术为重点，围绕新技术应用需求，加大对相关技术领域的研发、创新、应用支持，发挥电子商务技术应用需求引导作用，打造电子商务技术服务产业。</w:t>
      </w:r>
    </w:p>
    <w:p>
      <w:pPr>
        <w:ind w:firstLine="562" w:firstLineChars="200"/>
        <w:rPr>
          <w:highlight w:val="none"/>
        </w:rPr>
      </w:pPr>
      <w:r>
        <w:rPr>
          <w:rFonts w:hint="eastAsia"/>
          <w:b/>
          <w:highlight w:val="none"/>
        </w:rPr>
        <w:t>推动传统产业转型升级。</w:t>
      </w:r>
      <w:r>
        <w:rPr>
          <w:rFonts w:hint="eastAsia"/>
          <w:highlight w:val="none"/>
        </w:rPr>
        <w:t>依托电商大数据分析平台，进一步向制造端延伸，为传统制造企业提供科技服务，帮助企业进行柔性化生产、个性化定制，进而改变制造业生产模式，促进传统产业转型升级。</w:t>
      </w:r>
    </w:p>
    <w:p>
      <w:pPr>
        <w:pStyle w:val="5"/>
        <w:spacing w:line="377" w:lineRule="auto"/>
        <w:rPr>
          <w:rFonts w:ascii="黑体" w:hAnsi="黑体" w:eastAsia="黑体"/>
          <w:highlight w:val="none"/>
        </w:rPr>
      </w:pPr>
      <w:bookmarkStart w:id="392" w:name="_Toc528843193"/>
      <w:r>
        <w:rPr>
          <w:rFonts w:hint="eastAsia" w:ascii="黑体" w:hAnsi="黑体" w:eastAsia="黑体"/>
          <w:highlight w:val="none"/>
        </w:rPr>
        <w:t>2</w:t>
      </w:r>
      <w:r>
        <w:rPr>
          <w:rFonts w:ascii="黑体" w:hAnsi="黑体" w:eastAsia="黑体"/>
          <w:highlight w:val="none"/>
        </w:rPr>
        <w:t>.</w:t>
      </w:r>
      <w:r>
        <w:rPr>
          <w:rFonts w:hint="eastAsia" w:ascii="黑体" w:hAnsi="黑体" w:eastAsia="黑体"/>
          <w:highlight w:val="none"/>
        </w:rPr>
        <w:t>3发展旅游大数据，打造旅游创新发展新基地</w:t>
      </w:r>
      <w:bookmarkEnd w:id="392"/>
    </w:p>
    <w:p>
      <w:pPr>
        <w:pStyle w:val="6"/>
        <w:rPr>
          <w:highlight w:val="none"/>
        </w:rPr>
      </w:pPr>
      <w:r>
        <w:rPr>
          <w:rFonts w:hint="eastAsia"/>
          <w:highlight w:val="none"/>
        </w:rPr>
        <w:t>2.3.1</w:t>
      </w:r>
      <w:r>
        <w:rPr>
          <w:highlight w:val="none"/>
        </w:rPr>
        <w:t xml:space="preserve"> </w:t>
      </w:r>
      <w:r>
        <w:rPr>
          <w:rFonts w:hint="eastAsia"/>
          <w:highlight w:val="none"/>
        </w:rPr>
        <w:t>基础现状</w:t>
      </w:r>
    </w:p>
    <w:p>
      <w:pPr>
        <w:ind w:firstLine="562" w:firstLineChars="200"/>
        <w:rPr>
          <w:highlight w:val="none"/>
        </w:rPr>
      </w:pPr>
      <w:r>
        <w:rPr>
          <w:rFonts w:hint="eastAsia"/>
          <w:b/>
          <w:highlight w:val="none"/>
        </w:rPr>
        <w:t>宜春市旅游资源丰富。</w:t>
      </w:r>
      <w:r>
        <w:rPr>
          <w:rFonts w:hint="eastAsia"/>
          <w:highlight w:val="none"/>
        </w:rPr>
        <w:t>全市3A级以上景区共29家，A级以上乡村旅游点50家，全国红色旅游经典景区3家，全国休闲农业与乡村旅游示范县2家，全国农业旅游示范点1家，全国工业旅游示范点1家，江西省旅游强县1家，省级生态旅游示范区2家，省级旅游度假区2家，省级森林体验基地1家，省级森林养生基地2家</w:t>
      </w:r>
    </w:p>
    <w:p>
      <w:pPr>
        <w:ind w:firstLine="562" w:firstLineChars="200"/>
        <w:rPr>
          <w:highlight w:val="none"/>
        </w:rPr>
      </w:pPr>
      <w:r>
        <w:rPr>
          <w:rFonts w:hint="eastAsia"/>
          <w:b/>
          <w:highlight w:val="none"/>
        </w:rPr>
        <w:t>旅游产业增长强劲。“</w:t>
      </w:r>
      <w:r>
        <w:rPr>
          <w:rFonts w:hint="eastAsia"/>
          <w:highlight w:val="none"/>
        </w:rPr>
        <w:t>十二五”期间，国家接待游客年均增长10.9%，旅游综合收入年均增长17.4%；江西省接待游客年均增长28.7%，旅游综合收入年均增长34.8%；宜春市接待游客年均增长37.2%，旅游综合收入年均增长38.6%。</w:t>
      </w:r>
    </w:p>
    <w:p>
      <w:pPr>
        <w:pStyle w:val="6"/>
        <w:rPr>
          <w:highlight w:val="none"/>
        </w:rPr>
      </w:pPr>
      <w:r>
        <w:rPr>
          <w:rFonts w:hint="eastAsia"/>
          <w:highlight w:val="none"/>
        </w:rPr>
        <w:t>2.3.2</w:t>
      </w:r>
      <w:r>
        <w:rPr>
          <w:highlight w:val="none"/>
        </w:rPr>
        <w:t xml:space="preserve"> </w:t>
      </w:r>
      <w:r>
        <w:rPr>
          <w:rFonts w:hint="eastAsia"/>
          <w:highlight w:val="none"/>
        </w:rPr>
        <w:t>发展趋势</w:t>
      </w:r>
    </w:p>
    <w:p>
      <w:pPr>
        <w:ind w:firstLine="562" w:firstLineChars="200"/>
        <w:rPr>
          <w:highlight w:val="none"/>
        </w:rPr>
      </w:pPr>
      <w:r>
        <w:rPr>
          <w:rFonts w:hint="eastAsia"/>
          <w:b/>
          <w:highlight w:val="none"/>
        </w:rPr>
        <w:t>大众旅游休闲时代到来。</w:t>
      </w:r>
      <w:r>
        <w:rPr>
          <w:rFonts w:hint="eastAsia"/>
          <w:highlight w:val="none"/>
        </w:rPr>
        <w:t>我国旅游消费逐渐进入消费提升、内需驱动的发展阶段，旅游已经成为居民生活的基本内容和刚性需求，旅游形式逐步由观光旅游向休闲旅游和度假旅游转变。</w:t>
      </w:r>
    </w:p>
    <w:p>
      <w:pPr>
        <w:ind w:firstLine="562" w:firstLineChars="200"/>
        <w:rPr>
          <w:highlight w:val="none"/>
        </w:rPr>
      </w:pPr>
      <w:r>
        <w:rPr>
          <w:rFonts w:hint="eastAsia"/>
          <w:b/>
          <w:highlight w:val="none"/>
        </w:rPr>
        <w:t>互联网+带来旅游产业新发展。</w:t>
      </w:r>
      <w:r>
        <w:rPr>
          <w:rFonts w:hint="eastAsia"/>
          <w:highlight w:val="none"/>
        </w:rPr>
        <w:t>2015年9月，国家旅游局下发《关于实施“旅游+互联网”行动计划的通知》（征求意见稿），促进旅游与互联网的深度融合发展，为旅游产业发展带来新契机。</w:t>
      </w:r>
    </w:p>
    <w:p>
      <w:pPr>
        <w:ind w:firstLine="562" w:firstLineChars="200"/>
        <w:rPr>
          <w:highlight w:val="none"/>
        </w:rPr>
      </w:pPr>
      <w:r>
        <w:rPr>
          <w:rFonts w:hint="eastAsia"/>
          <w:b/>
          <w:highlight w:val="none"/>
        </w:rPr>
        <w:t>大数据、物联网等新技术广泛应用</w:t>
      </w:r>
      <w:r>
        <w:rPr>
          <w:b/>
          <w:highlight w:val="none"/>
        </w:rPr>
        <w:t>于</w:t>
      </w:r>
      <w:r>
        <w:rPr>
          <w:rFonts w:hint="eastAsia"/>
          <w:b/>
          <w:highlight w:val="none"/>
        </w:rPr>
        <w:t>景区管理和游客服务。</w:t>
      </w:r>
      <w:r>
        <w:rPr>
          <w:rFonts w:hint="eastAsia"/>
          <w:highlight w:val="none"/>
        </w:rPr>
        <w:t>在旅游管理方面，通过LBS基站定位及手机信号定位，实现对景区及重点区域内的游客人流、车流密度的监测、预警，同时基于网络文本数据的挖掘，实现对旅游目的地的舆情监测及预警。在游客服务方面，基于对旅游产品、旅游线路的数据挖掘、分析，实现对游客旅游资讯及旅游产品信息的精准推送。在旅游营销方面，通过对不同用户属性信息及用户兴趣偏好等数据的挖掘分析，指导旅游目的地开展精准营销。</w:t>
      </w:r>
    </w:p>
    <w:p>
      <w:pPr>
        <w:pStyle w:val="6"/>
        <w:rPr>
          <w:highlight w:val="none"/>
        </w:rPr>
      </w:pPr>
      <w:r>
        <w:rPr>
          <w:rFonts w:hint="eastAsia"/>
          <w:highlight w:val="none"/>
        </w:rPr>
        <w:t>2.3.</w:t>
      </w:r>
      <w:r>
        <w:rPr>
          <w:highlight w:val="none"/>
        </w:rPr>
        <w:t>3</w:t>
      </w:r>
      <w:r>
        <w:rPr>
          <w:rFonts w:hint="eastAsia"/>
          <w:highlight w:val="none"/>
        </w:rPr>
        <w:t xml:space="preserve"> 目标定位</w:t>
      </w:r>
    </w:p>
    <w:p>
      <w:pPr>
        <w:ind w:firstLine="560" w:firstLineChars="200"/>
        <w:rPr>
          <w:highlight w:val="none"/>
        </w:rPr>
      </w:pPr>
      <w:r>
        <w:rPr>
          <w:rFonts w:hint="eastAsia"/>
          <w:highlight w:val="none"/>
        </w:rPr>
        <w:t>到2030年，智慧小镇旅游大数据企业营业收入达到85亿元，引进培育30家以上国内外知名企业，从业人员超过6000人，带动宜春市景区及旅游企业年营业收入实现30%以上增长。</w:t>
      </w:r>
    </w:p>
    <w:p>
      <w:pPr>
        <w:ind w:firstLine="560" w:firstLineChars="200"/>
        <w:rPr>
          <w:highlight w:val="none"/>
        </w:rPr>
      </w:pPr>
      <w:r>
        <w:rPr>
          <w:rFonts w:hint="eastAsia"/>
          <w:highlight w:val="none"/>
        </w:rPr>
        <w:t>把智慧小镇打造为全国有重要影响力的旅游大数据创新区。旅游大数据资源的掌控和分析能力国内领先，旅游监管实现全面覆盖、及时高效，旅游大数据精准营销和创新技术营销应用成效显著，打造全域旅游一站式服务的“宜春样板”，形成完备的旅游大数据产业链。重点依托云数据中心资源提升旅游大数据分析能力，使大数据精准营销和创新应用服务辐射周边区域甚至全国。</w:t>
      </w:r>
    </w:p>
    <w:p>
      <w:pPr>
        <w:pStyle w:val="6"/>
        <w:rPr>
          <w:highlight w:val="none"/>
        </w:rPr>
      </w:pPr>
      <w:r>
        <w:rPr>
          <w:rFonts w:hint="eastAsia"/>
          <w:highlight w:val="none"/>
        </w:rPr>
        <w:t>2.3.</w:t>
      </w:r>
      <w:r>
        <w:rPr>
          <w:highlight w:val="none"/>
        </w:rPr>
        <w:t xml:space="preserve">4 </w:t>
      </w:r>
      <w:r>
        <w:rPr>
          <w:rFonts w:hint="eastAsia"/>
          <w:highlight w:val="none"/>
        </w:rPr>
        <w:t>实施方案</w:t>
      </w:r>
    </w:p>
    <w:p>
      <w:pPr>
        <w:ind w:firstLine="560" w:firstLineChars="200"/>
        <w:rPr>
          <w:highlight w:val="none"/>
        </w:rPr>
      </w:pPr>
      <w:r>
        <w:rPr>
          <w:rFonts w:hint="eastAsia"/>
          <w:highlight w:val="none"/>
        </w:rPr>
        <w:t>发展旅游大数据按照“数据—应用—产业”的发展路径进行推进。</w:t>
      </w:r>
    </w:p>
    <w:p>
      <w:pPr>
        <w:ind w:firstLine="562" w:firstLineChars="200"/>
        <w:rPr>
          <w:b/>
          <w:highlight w:val="none"/>
        </w:rPr>
      </w:pPr>
      <w:r>
        <w:rPr>
          <w:rFonts w:hint="eastAsia"/>
          <w:b/>
          <w:highlight w:val="none"/>
        </w:rPr>
        <w:t>2018-2020年：</w:t>
      </w:r>
    </w:p>
    <w:p>
      <w:pPr>
        <w:ind w:firstLine="562" w:firstLineChars="200"/>
        <w:rPr>
          <w:highlight w:val="none"/>
        </w:rPr>
      </w:pPr>
      <w:r>
        <w:rPr>
          <w:rFonts w:hint="eastAsia"/>
          <w:b/>
          <w:highlight w:val="none"/>
        </w:rPr>
        <w:t>汇聚旅游数据资源，提升旅游大数据分析能力。</w:t>
      </w:r>
      <w:r>
        <w:rPr>
          <w:rFonts w:hint="eastAsia"/>
          <w:highlight w:val="none"/>
        </w:rPr>
        <w:t>依托智慧小镇入驻企业全面整合宜春市旅游资源，实现景区、旅行社、酒店、民宿等涉旅行业的数据对接。推进跨部门涉旅数据的横向融合和开放共享，与公安、气象、交通等部门合作，建立跨部门、跨地域的旅游信息资源目录体系和交换体系，实现宜春旅游大数据的“纵向贯通、横向融通、全域共享”。依托宜春云数据中心承载能力，推进存储资源、计算资源和宽带资源的统一管理。加强与旅游大数据企业合作提升旅游大数据分析能力，优化行业监管、游客服务、市场营销能力。吸引社会资本投资，探索旅游数据资源开发新模式，促进旅游新业态发展和旅游产业创新。</w:t>
      </w:r>
    </w:p>
    <w:p>
      <w:pPr>
        <w:ind w:firstLine="562" w:firstLineChars="200"/>
        <w:rPr>
          <w:highlight w:val="none"/>
        </w:rPr>
      </w:pPr>
      <w:r>
        <w:rPr>
          <w:rFonts w:hint="eastAsia"/>
          <w:b/>
          <w:highlight w:val="none"/>
        </w:rPr>
        <w:t>推进“一部手机畅游宜春”项目建设。</w:t>
      </w:r>
      <w:r>
        <w:rPr>
          <w:rFonts w:hint="eastAsia"/>
          <w:highlight w:val="none"/>
        </w:rPr>
        <w:t>以旅游数据资源开放招引途记、马上游、必爱旅行网等旅游大数据企业，引导企业开发运营宜春一站式旅游移动APP，全面辐射景区周边吃、住、行、游、购、娱等旅游产业链，推动宜春旅游供给和需求的统一对接，</w:t>
      </w:r>
      <w:r>
        <w:rPr>
          <w:highlight w:val="none"/>
        </w:rPr>
        <w:t>实现</w:t>
      </w:r>
      <w:r>
        <w:rPr>
          <w:rFonts w:hint="eastAsia"/>
          <w:highlight w:val="none"/>
        </w:rPr>
        <w:t>“一部手机畅游宜春”。面向游客，通过移动APP、微信公众号、旅游网站和公共区域的触摸屏等渠道，提供城市、景区、涉旅企业的信息咨询、行程规划、在线预订、公共交通等服务。面向涉旅企业，提供行业基本信息、相关企业信息、区域旅游大数据等数据查询服务，协助涉旅产业链条内企业开展协作互动。</w:t>
      </w:r>
      <w:r>
        <w:rPr>
          <w:highlight w:val="none"/>
        </w:rPr>
        <w:t xml:space="preserve"> </w:t>
      </w:r>
    </w:p>
    <w:p>
      <w:pPr>
        <w:ind w:firstLine="562" w:firstLineChars="200"/>
        <w:rPr>
          <w:b/>
          <w:highlight w:val="none"/>
        </w:rPr>
      </w:pPr>
      <w:r>
        <w:rPr>
          <w:rFonts w:hint="eastAsia"/>
          <w:b/>
          <w:highlight w:val="none"/>
        </w:rPr>
        <w:t>2021-20</w:t>
      </w:r>
      <w:r>
        <w:rPr>
          <w:b/>
          <w:highlight w:val="none"/>
        </w:rPr>
        <w:t>25</w:t>
      </w:r>
      <w:r>
        <w:rPr>
          <w:rFonts w:hint="eastAsia"/>
          <w:b/>
          <w:highlight w:val="none"/>
        </w:rPr>
        <w:t>年：</w:t>
      </w:r>
    </w:p>
    <w:p>
      <w:pPr>
        <w:ind w:firstLine="562" w:firstLineChars="200"/>
        <w:rPr>
          <w:highlight w:val="none"/>
        </w:rPr>
      </w:pPr>
      <w:r>
        <w:rPr>
          <w:rFonts w:hint="eastAsia"/>
          <w:b/>
          <w:highlight w:val="none"/>
        </w:rPr>
        <w:t>推进客流预测与预警大数据应用开发。</w:t>
      </w:r>
      <w:r>
        <w:rPr>
          <w:rFonts w:hint="eastAsia"/>
          <w:highlight w:val="none"/>
        </w:rPr>
        <w:t>推进旅游监管部门与智慧小镇入驻企业开展合作，整合利用互联网搜索数据、OTA平台预订数据、交通出行数据等数据资源，开展客流流量流向预测分析。鼓励旅游大数据企业提供客流预测与预警大数据应用和服务，基于景区景点视频监控、票务、停车、手机通讯等实时数据采集分析，实现对旅游城市、景区、景点游客流量的监控、预测和预警，提升旅游公共突发事件预防预警、快速响应和及时处理能力，实现对旅游行业的实时、动态和有效管理。</w:t>
      </w:r>
    </w:p>
    <w:p>
      <w:pPr>
        <w:ind w:firstLine="562" w:firstLineChars="200"/>
        <w:rPr>
          <w:highlight w:val="none"/>
        </w:rPr>
      </w:pPr>
      <w:r>
        <w:rPr>
          <w:rFonts w:hint="eastAsia"/>
          <w:b/>
          <w:highlight w:val="none"/>
        </w:rPr>
        <w:t>推进旅游</w:t>
      </w:r>
      <w:r>
        <w:rPr>
          <w:b/>
          <w:highlight w:val="none"/>
        </w:rPr>
        <w:t>VR</w:t>
      </w:r>
      <w:r>
        <w:rPr>
          <w:rFonts w:hint="eastAsia"/>
          <w:b/>
          <w:highlight w:val="none"/>
        </w:rPr>
        <w:t>体验营销等大数据应用发展。</w:t>
      </w:r>
      <w:r>
        <w:rPr>
          <w:rFonts w:hint="eastAsia"/>
          <w:highlight w:val="none"/>
        </w:rPr>
        <w:t>推进智慧小镇入驻企业与景区、旅行社等合作，将VR全景体验、360°环幕投影技术等融入景区旅游的展示与营销中，实现游客出行前的目的地虚拟体验、目的地VR辅助的景观重现、VR还原的特殊线路和视角等，提升游客旅游体验，改变传统景区与旅行社的营销方式，提升宜春旅游品牌知名度，带动宜春旅游产业更快更好发展。</w:t>
      </w:r>
    </w:p>
    <w:p>
      <w:pPr>
        <w:ind w:firstLine="562" w:firstLineChars="200"/>
        <w:rPr>
          <w:highlight w:val="none"/>
        </w:rPr>
      </w:pPr>
      <w:r>
        <w:rPr>
          <w:rFonts w:hint="eastAsia"/>
          <w:b/>
          <w:highlight w:val="none"/>
        </w:rPr>
        <w:t>2</w:t>
      </w:r>
      <w:r>
        <w:rPr>
          <w:b/>
          <w:highlight w:val="none"/>
        </w:rPr>
        <w:t>026</w:t>
      </w:r>
      <w:r>
        <w:rPr>
          <w:rFonts w:hint="eastAsia"/>
          <w:b/>
          <w:highlight w:val="none"/>
        </w:rPr>
        <w:t>-</w:t>
      </w:r>
      <w:r>
        <w:rPr>
          <w:b/>
          <w:highlight w:val="none"/>
        </w:rPr>
        <w:t>2030年</w:t>
      </w:r>
      <w:r>
        <w:rPr>
          <w:rFonts w:hint="eastAsia"/>
          <w:highlight w:val="none"/>
        </w:rPr>
        <w:t>：</w:t>
      </w:r>
    </w:p>
    <w:p>
      <w:pPr>
        <w:ind w:firstLine="562" w:firstLineChars="200"/>
        <w:rPr>
          <w:highlight w:val="none"/>
        </w:rPr>
      </w:pPr>
      <w:r>
        <w:rPr>
          <w:rFonts w:hint="eastAsia"/>
          <w:b/>
          <w:highlight w:val="none"/>
        </w:rPr>
        <w:t>打造旅游大数据全产业链，拓展服务全省乃至全国。</w:t>
      </w:r>
      <w:r>
        <w:rPr>
          <w:rFonts w:hint="eastAsia"/>
          <w:highlight w:val="none"/>
        </w:rPr>
        <w:t>推进智慧小镇入驻企业与景区、旅行社等涉旅机构开展深度合作，拓展旅游服务的深度和广度。培育和引进更多旅游大数据企业，在智慧小镇打造旅游大数据全产业链，支持旅游大数据企业开发旅游营销、旅游行业管理和游客服务等方面的旅游大数据应用和产品，服务全省乃至全国。</w:t>
      </w:r>
    </w:p>
    <w:p>
      <w:pPr>
        <w:pStyle w:val="4"/>
        <w:rPr>
          <w:highlight w:val="none"/>
        </w:rPr>
      </w:pPr>
      <w:bookmarkStart w:id="393" w:name="_Toc528843194"/>
      <w:r>
        <w:rPr>
          <w:rFonts w:hint="eastAsia"/>
          <w:highlight w:val="none"/>
        </w:rPr>
        <w:t>（三）建设数据资源中心，汇聚数据资源</w:t>
      </w:r>
      <w:bookmarkEnd w:id="393"/>
    </w:p>
    <w:p>
      <w:pPr>
        <w:ind w:firstLine="560" w:firstLineChars="200"/>
        <w:rPr>
          <w:highlight w:val="none"/>
        </w:rPr>
      </w:pPr>
      <w:r>
        <w:rPr>
          <w:rFonts w:hint="eastAsia"/>
          <w:highlight w:val="none"/>
        </w:rPr>
        <w:t>围绕数据资源采集、清洗、加工、存储和应用全产业链，建设采集中心、云数据中心和呼叫中心。云数据中心有利于赣西地区智慧政务、智慧民生等智慧城市数据和智慧经济产业数据集中存储，是支撑宜春智慧经济产业发展的基础，采集中心通过引进培育数据采集、清洗加工企业为智慧城市建设提供物联网数据采集和工业数据采集清洗服务，呼叫中心可依托云数据中心海量数据资源进行精准营销、精准客户服务等，实现大数据的应用闭环。</w:t>
      </w:r>
    </w:p>
    <w:p>
      <w:pPr>
        <w:ind w:firstLine="560" w:firstLineChars="200"/>
        <w:rPr>
          <w:highlight w:val="none"/>
        </w:rPr>
      </w:pPr>
      <w:r>
        <w:rPr>
          <w:highlight w:val="none"/>
        </w:rPr>
        <w:drawing>
          <wp:inline distT="0" distB="0" distL="0" distR="0">
            <wp:extent cx="4926330" cy="1684655"/>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936840" cy="1688817"/>
                    </a:xfrm>
                    <a:prstGeom prst="rect">
                      <a:avLst/>
                    </a:prstGeom>
                    <a:noFill/>
                  </pic:spPr>
                </pic:pic>
              </a:graphicData>
            </a:graphic>
          </wp:inline>
        </w:drawing>
      </w:r>
    </w:p>
    <w:p>
      <w:pPr>
        <w:ind w:firstLine="560" w:firstLineChars="200"/>
        <w:jc w:val="center"/>
        <w:rPr>
          <w:highlight w:val="none"/>
        </w:rPr>
      </w:pPr>
      <w:r>
        <w:rPr>
          <w:rFonts w:hint="eastAsia"/>
          <w:highlight w:val="none"/>
        </w:rPr>
        <w:t>图3-1</w:t>
      </w:r>
      <w:r>
        <w:rPr>
          <w:highlight w:val="none"/>
        </w:rPr>
        <w:t xml:space="preserve"> </w:t>
      </w:r>
      <w:r>
        <w:rPr>
          <w:rFonts w:hint="eastAsia"/>
          <w:highlight w:val="none"/>
        </w:rPr>
        <w:t>数据资源中心构成及定位</w:t>
      </w:r>
    </w:p>
    <w:p>
      <w:pPr>
        <w:pStyle w:val="5"/>
        <w:spacing w:line="377" w:lineRule="auto"/>
        <w:rPr>
          <w:rFonts w:ascii="黑体" w:hAnsi="黑体" w:eastAsia="黑体"/>
          <w:highlight w:val="none"/>
        </w:rPr>
      </w:pPr>
      <w:bookmarkStart w:id="394" w:name="_Toc528843195"/>
      <w:r>
        <w:rPr>
          <w:rFonts w:hint="eastAsia" w:ascii="黑体" w:hAnsi="黑体" w:eastAsia="黑体"/>
          <w:highlight w:val="none"/>
        </w:rPr>
        <w:t>3.1</w:t>
      </w:r>
      <w:r>
        <w:rPr>
          <w:rFonts w:ascii="黑体" w:hAnsi="黑体" w:eastAsia="黑体"/>
          <w:highlight w:val="none"/>
        </w:rPr>
        <w:t xml:space="preserve"> </w:t>
      </w:r>
      <w:r>
        <w:rPr>
          <w:rFonts w:hint="eastAsia" w:ascii="黑体" w:hAnsi="黑体" w:eastAsia="黑体"/>
          <w:highlight w:val="none"/>
        </w:rPr>
        <w:t>建设采集中心，实现数据资源价值变现</w:t>
      </w:r>
      <w:bookmarkEnd w:id="394"/>
      <w:r>
        <w:rPr>
          <w:rFonts w:ascii="黑体" w:hAnsi="黑体" w:eastAsia="黑体"/>
          <w:highlight w:val="none"/>
        </w:rPr>
        <w:t xml:space="preserve"> </w:t>
      </w:r>
    </w:p>
    <w:p>
      <w:pPr>
        <w:pStyle w:val="6"/>
        <w:spacing w:line="377" w:lineRule="auto"/>
        <w:rPr>
          <w:highlight w:val="none"/>
        </w:rPr>
      </w:pPr>
      <w:r>
        <w:rPr>
          <w:rFonts w:hint="eastAsia"/>
          <w:highlight w:val="none"/>
        </w:rPr>
        <w:t>3.1.1 目标定位</w:t>
      </w:r>
    </w:p>
    <w:p>
      <w:pPr>
        <w:ind w:firstLine="560" w:firstLineChars="200"/>
        <w:rPr>
          <w:highlight w:val="none"/>
        </w:rPr>
      </w:pPr>
      <w:r>
        <w:rPr>
          <w:rFonts w:hint="eastAsia"/>
          <w:highlight w:val="none"/>
        </w:rPr>
        <w:t>以采集政务、民生和城市管理等公共数据为突破口建设大数据采集和清洗中心，引进和培育国内领先大数据采集和清洗企业，为智慧城市和行业应用提供基础的数据采集和数据清洗服务，引进培育物联网数据采集企业，推进工业互联网数据采集。力争到2030年，把智慧小镇数据采集中心打造成兼具国际标准和本地特色的数据采集和清洗中心，引入培育10家以上国内外知名的数据采集和数据清洗企业，从业人员超过1000人，智慧小镇数据采集和清洗企业营业收入达到10亿元。</w:t>
      </w:r>
    </w:p>
    <w:p>
      <w:pPr>
        <w:pStyle w:val="6"/>
        <w:spacing w:line="377" w:lineRule="auto"/>
        <w:rPr>
          <w:highlight w:val="none"/>
        </w:rPr>
      </w:pPr>
      <w:r>
        <w:rPr>
          <w:rFonts w:hint="eastAsia"/>
          <w:highlight w:val="none"/>
        </w:rPr>
        <w:t>3.1.2 发展方向</w:t>
      </w:r>
    </w:p>
    <w:p>
      <w:pPr>
        <w:ind w:firstLine="562" w:firstLineChars="200"/>
        <w:rPr>
          <w:b/>
          <w:highlight w:val="none"/>
        </w:rPr>
      </w:pPr>
      <w:r>
        <w:rPr>
          <w:b/>
          <w:highlight w:val="none"/>
        </w:rPr>
        <w:t>1</w:t>
      </w:r>
      <w:r>
        <w:rPr>
          <w:rFonts w:hint="eastAsia"/>
          <w:b/>
          <w:highlight w:val="none"/>
        </w:rPr>
        <w:t>、发展公共数据采集</w:t>
      </w:r>
    </w:p>
    <w:p>
      <w:pPr>
        <w:ind w:firstLine="560" w:firstLineChars="200"/>
        <w:rPr>
          <w:highlight w:val="none"/>
        </w:rPr>
      </w:pPr>
      <w:r>
        <w:rPr>
          <w:rFonts w:hint="eastAsia"/>
          <w:highlight w:val="none"/>
        </w:rPr>
        <w:t>以政务、民生和城市管理等公共数据为突破口，引进国内领先的大数据采集企业实现政府部门、事业单位、行业组织等机构所积累的公共数据资源的采集，主动采集城市运行数据、空间数据、环境数据及其他第三方数据。鼓励企业针对不同类型数据采集特点，开发不同的数据采集产品，并形成数据采集标准规范。</w:t>
      </w:r>
    </w:p>
    <w:p>
      <w:pPr>
        <w:ind w:firstLine="562" w:firstLineChars="200"/>
        <w:rPr>
          <w:b/>
          <w:highlight w:val="none"/>
        </w:rPr>
      </w:pPr>
      <w:r>
        <w:rPr>
          <w:b/>
          <w:highlight w:val="none"/>
        </w:rPr>
        <w:t>2</w:t>
      </w:r>
      <w:r>
        <w:rPr>
          <w:rFonts w:hint="eastAsia"/>
          <w:b/>
          <w:highlight w:val="none"/>
        </w:rPr>
        <w:t>、培育物联网数据采集</w:t>
      </w:r>
    </w:p>
    <w:p>
      <w:pPr>
        <w:ind w:firstLine="560" w:firstLineChars="200"/>
        <w:rPr>
          <w:highlight w:val="none"/>
        </w:rPr>
      </w:pPr>
      <w:r>
        <w:rPr>
          <w:rFonts w:hint="eastAsia"/>
          <w:highlight w:val="none"/>
        </w:rPr>
        <w:t>面向企业低时延、高可靠、广覆盖的网络需求，积极推进物联网在宜春市的全域覆盖，依托飞达电气、飞尚科技等公司</w:t>
      </w:r>
      <w:r>
        <w:rPr>
          <w:highlight w:val="none"/>
        </w:rPr>
        <w:t>大力</w:t>
      </w:r>
      <w:r>
        <w:rPr>
          <w:rFonts w:hint="eastAsia"/>
          <w:highlight w:val="none"/>
        </w:rPr>
        <w:t>发展物流网数据采集，引导基础电信企业与其他企业加强合作，促进物联网在旅游、农业、物流、安全监管等行业领域的深度应用，着重开展景区监控、智慧农业、食品溯源、安全生产监控预警等大容量、高并发的物联网应用示范建设，全力支撑宜春智慧产业发展。</w:t>
      </w:r>
    </w:p>
    <w:p>
      <w:pPr>
        <w:ind w:firstLine="562" w:firstLineChars="200"/>
        <w:rPr>
          <w:b/>
          <w:highlight w:val="none"/>
        </w:rPr>
      </w:pPr>
      <w:r>
        <w:rPr>
          <w:rFonts w:hint="eastAsia"/>
          <w:b/>
          <w:highlight w:val="none"/>
        </w:rPr>
        <w:t>3、推进工业互联网数据采集</w:t>
      </w:r>
    </w:p>
    <w:p>
      <w:pPr>
        <w:ind w:firstLine="560" w:firstLineChars="200"/>
        <w:rPr>
          <w:highlight w:val="none"/>
        </w:rPr>
      </w:pPr>
      <w:r>
        <w:rPr>
          <w:rFonts w:hint="eastAsia"/>
          <w:highlight w:val="none"/>
        </w:rPr>
        <w:t>推动工业企业运用工业互联网新技术、新模式实施数字化、网络化、智能化升级改造，推动工业企业“上云上平台”。紧抓工业智能化改造机遇，促进制造业龙头企业与工业互联网平台商和服务商加强合作，推进工业互联网数据采集。加强工业互联网在企业内外部的应用，强化设备联网与数据采集能力、数据集成应用能力，建设企业级平台和行业性平台，形成具有示范和推广价值的典型经验和通用解决方案。</w:t>
      </w:r>
    </w:p>
    <w:p>
      <w:pPr>
        <w:ind w:firstLine="562" w:firstLineChars="200"/>
        <w:rPr>
          <w:b/>
          <w:highlight w:val="none"/>
        </w:rPr>
      </w:pPr>
      <w:r>
        <w:rPr>
          <w:b/>
          <w:highlight w:val="none"/>
        </w:rPr>
        <w:t>4</w:t>
      </w:r>
      <w:r>
        <w:rPr>
          <w:rFonts w:hint="eastAsia"/>
          <w:b/>
          <w:highlight w:val="none"/>
        </w:rPr>
        <w:t>、开发数据产品和A</w:t>
      </w:r>
      <w:r>
        <w:rPr>
          <w:b/>
          <w:highlight w:val="none"/>
        </w:rPr>
        <w:t>PI</w:t>
      </w:r>
      <w:r>
        <w:rPr>
          <w:rFonts w:hint="eastAsia"/>
          <w:b/>
          <w:highlight w:val="none"/>
        </w:rPr>
        <w:t>数据接口服务</w:t>
      </w:r>
    </w:p>
    <w:p>
      <w:pPr>
        <w:ind w:firstLine="560" w:firstLineChars="200"/>
        <w:rPr>
          <w:highlight w:val="none"/>
        </w:rPr>
      </w:pPr>
      <w:r>
        <w:rPr>
          <w:rFonts w:hint="eastAsia"/>
          <w:highlight w:val="none"/>
        </w:rPr>
        <w:t>引进和培育大数据清洗企业，鼓励企业根据政府及不同行业大数据特点，针对文本、语音、图像等数据，提供大数据清洗、</w:t>
      </w:r>
      <w:r>
        <w:rPr>
          <w:highlight w:val="none"/>
        </w:rPr>
        <w:t>加工</w:t>
      </w:r>
      <w:r>
        <w:rPr>
          <w:rFonts w:hint="eastAsia"/>
          <w:highlight w:val="none"/>
        </w:rPr>
        <w:t>、</w:t>
      </w:r>
      <w:r>
        <w:rPr>
          <w:highlight w:val="none"/>
        </w:rPr>
        <w:t>脱敏</w:t>
      </w:r>
      <w:r>
        <w:rPr>
          <w:rFonts w:hint="eastAsia"/>
          <w:highlight w:val="none"/>
        </w:rPr>
        <w:t>等服务，把低价值密度的初始数据转变为具有高价值的数据资源。鼓励企业开发面向不同行业的数据采集、数据清洗、数据分析和数据展示产品，并提供A</w:t>
      </w:r>
      <w:r>
        <w:rPr>
          <w:highlight w:val="none"/>
        </w:rPr>
        <w:t>PI</w:t>
      </w:r>
      <w:r>
        <w:rPr>
          <w:rFonts w:hint="eastAsia"/>
          <w:highlight w:val="none"/>
        </w:rPr>
        <w:t>数据接口服务，推动数据流通，实现数据资源价值变现。</w:t>
      </w:r>
    </w:p>
    <w:p>
      <w:pPr>
        <w:pStyle w:val="6"/>
        <w:spacing w:line="377" w:lineRule="auto"/>
        <w:rPr>
          <w:highlight w:val="none"/>
        </w:rPr>
      </w:pPr>
      <w:r>
        <w:rPr>
          <w:rFonts w:hint="eastAsia"/>
          <w:highlight w:val="none"/>
        </w:rPr>
        <w:t>3.1.3</w:t>
      </w:r>
      <w:r>
        <w:rPr>
          <w:highlight w:val="none"/>
        </w:rPr>
        <w:t xml:space="preserve"> </w:t>
      </w:r>
      <w:r>
        <w:rPr>
          <w:rFonts w:hint="eastAsia"/>
          <w:highlight w:val="none"/>
        </w:rPr>
        <w:t>实施路径</w:t>
      </w:r>
    </w:p>
    <w:p>
      <w:pPr>
        <w:ind w:firstLine="560" w:firstLineChars="200"/>
        <w:rPr>
          <w:rFonts w:ascii="Times New Roman" w:hAnsi="Times New Roman" w:cs="Times New Roman"/>
          <w:highlight w:val="none"/>
        </w:rPr>
      </w:pPr>
      <w:r>
        <w:rPr>
          <w:rFonts w:hint="eastAsia" w:ascii="Times New Roman" w:hAnsi="Times New Roman" w:cs="Times New Roman"/>
          <w:highlight w:val="none"/>
        </w:rPr>
        <w:t>依托一系列智慧经济产业建设工程，引进和培育大数据采集企业，打造数据资源采集和清洗中心，提升智慧经济产业数据资源的采集获取和分析利用能力，发掘数据资源的潜力，带动宜春市智慧经济产业发展。</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2018</w:t>
      </w:r>
      <w:r>
        <w:rPr>
          <w:rFonts w:ascii="Times New Roman" w:hAnsi="Times New Roman" w:cs="Times New Roman"/>
          <w:b/>
          <w:highlight w:val="none"/>
        </w:rPr>
        <w:t>-2020</w:t>
      </w:r>
      <w:r>
        <w:rPr>
          <w:rFonts w:hint="eastAsia" w:ascii="Times New Roman" w:hAnsi="Times New Roman" w:cs="Times New Roman"/>
          <w:b/>
          <w:highlight w:val="none"/>
        </w:rPr>
        <w:t>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建设数据采集中心。</w:t>
      </w:r>
      <w:r>
        <w:rPr>
          <w:rFonts w:hint="eastAsia" w:ascii="Times New Roman" w:hAnsi="Times New Roman" w:cs="Times New Roman"/>
          <w:highlight w:val="none"/>
        </w:rPr>
        <w:t>规划建设数据采集中心办公楼宇载体，完成基础土建，水、电、网络等配套建设和办公场地装修。</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引进培育数据采集企业</w:t>
      </w:r>
      <w:r>
        <w:rPr>
          <w:rFonts w:hint="eastAsia" w:ascii="Times New Roman" w:hAnsi="Times New Roman" w:cs="Times New Roman"/>
          <w:highlight w:val="none"/>
        </w:rPr>
        <w:t>。依托飞达电气、国信优易等企业形成标准化、规范化的数据采集和清洗产品，引进西安美林、北京数字冰雹、成都数联铭品等企业开展智慧城市、工业领域数据的采集、清洗和可视化展示。</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w:t>
      </w:r>
      <w:r>
        <w:rPr>
          <w:rFonts w:ascii="Times New Roman" w:hAnsi="Times New Roman" w:cs="Times New Roman"/>
          <w:b/>
          <w:highlight w:val="none"/>
        </w:rPr>
        <w:t>21-20</w:t>
      </w:r>
      <w:r>
        <w:rPr>
          <w:rFonts w:hint="eastAsia" w:ascii="Times New Roman" w:hAnsi="Times New Roman" w:cs="Times New Roman"/>
          <w:b/>
          <w:highlight w:val="none"/>
        </w:rPr>
        <w:t>25年：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鼓励企业开发数据分析产品。</w:t>
      </w:r>
      <w:r>
        <w:rPr>
          <w:rFonts w:hint="eastAsia" w:ascii="Times New Roman" w:hAnsi="Times New Roman" w:cs="Times New Roman"/>
          <w:highlight w:val="none"/>
        </w:rPr>
        <w:t>引进培育大数据分析企业，鼓励企业基于大数据分析经验，开发标准化、规范化的大数据分析产品，挖掘数据资源价值，助力政府高效决策，支持企业持续发展。</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鼓励企业提供A</w:t>
      </w:r>
      <w:r>
        <w:rPr>
          <w:rFonts w:ascii="Times New Roman" w:hAnsi="Times New Roman" w:cs="Times New Roman"/>
          <w:b/>
          <w:highlight w:val="none"/>
        </w:rPr>
        <w:t>PI</w:t>
      </w:r>
      <w:r>
        <w:rPr>
          <w:rFonts w:hint="eastAsia" w:ascii="Times New Roman" w:hAnsi="Times New Roman" w:cs="Times New Roman"/>
          <w:b/>
          <w:highlight w:val="none"/>
        </w:rPr>
        <w:t>数据接口服务。</w:t>
      </w:r>
      <w:r>
        <w:rPr>
          <w:rFonts w:hint="eastAsia" w:ascii="Times New Roman" w:hAnsi="Times New Roman" w:cs="Times New Roman"/>
          <w:highlight w:val="none"/>
        </w:rPr>
        <w:t>引进培育具有数据资源的企业，鼓励企业对其汇聚的数据资源进行清洗、封装，面向全国提供A</w:t>
      </w:r>
      <w:r>
        <w:rPr>
          <w:rFonts w:ascii="Times New Roman" w:hAnsi="Times New Roman" w:cs="Times New Roman"/>
          <w:highlight w:val="none"/>
        </w:rPr>
        <w:t>PI</w:t>
      </w:r>
      <w:r>
        <w:rPr>
          <w:rFonts w:hint="eastAsia" w:ascii="Times New Roman" w:hAnsi="Times New Roman" w:cs="Times New Roman"/>
          <w:highlight w:val="none"/>
        </w:rPr>
        <w:t>数据接口服务，促进数据流通，实现数据资源价值变现。</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w:t>
      </w:r>
      <w:r>
        <w:rPr>
          <w:rFonts w:ascii="Times New Roman" w:hAnsi="Times New Roman" w:cs="Times New Roman"/>
          <w:b/>
          <w:highlight w:val="none"/>
        </w:rPr>
        <w:t>2</w:t>
      </w:r>
      <w:r>
        <w:rPr>
          <w:rFonts w:hint="eastAsia" w:ascii="Times New Roman" w:hAnsi="Times New Roman" w:cs="Times New Roman"/>
          <w:b/>
          <w:highlight w:val="none"/>
        </w:rPr>
        <w:t>6-</w:t>
      </w:r>
      <w:r>
        <w:rPr>
          <w:rFonts w:ascii="Times New Roman" w:hAnsi="Times New Roman" w:cs="Times New Roman"/>
          <w:b/>
          <w:highlight w:val="none"/>
        </w:rPr>
        <w:t>20</w:t>
      </w:r>
      <w:r>
        <w:rPr>
          <w:rFonts w:hint="eastAsia" w:ascii="Times New Roman" w:hAnsi="Times New Roman" w:cs="Times New Roman"/>
          <w:b/>
          <w:highlight w:val="none"/>
        </w:rPr>
        <w:t>30年：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打造数字资源全产业链能力。</w:t>
      </w:r>
      <w:r>
        <w:rPr>
          <w:rFonts w:hint="eastAsia" w:ascii="Times New Roman" w:hAnsi="Times New Roman" w:cs="Times New Roman"/>
          <w:highlight w:val="none"/>
        </w:rPr>
        <w:t>从数据采集和清洗环节入手，培育本地数据加工企业和人才，推进数据资源的采集、清洗、展示和流通的商品化，逐渐打造采集、清洗、分析、挖掘、展示和流通全产业链能力。</w:t>
      </w:r>
    </w:p>
    <w:p>
      <w:pPr>
        <w:pStyle w:val="5"/>
        <w:spacing w:line="377" w:lineRule="auto"/>
        <w:rPr>
          <w:rFonts w:ascii="黑体" w:hAnsi="黑体" w:eastAsia="黑体"/>
          <w:highlight w:val="none"/>
        </w:rPr>
      </w:pPr>
      <w:bookmarkStart w:id="395" w:name="_Toc528843196"/>
      <w:r>
        <w:rPr>
          <w:rFonts w:hint="eastAsia" w:ascii="黑体" w:hAnsi="黑体" w:eastAsia="黑体"/>
          <w:highlight w:val="none"/>
        </w:rPr>
        <w:t>3.</w:t>
      </w:r>
      <w:r>
        <w:rPr>
          <w:rFonts w:ascii="黑体" w:hAnsi="黑体" w:eastAsia="黑体"/>
          <w:highlight w:val="none"/>
        </w:rPr>
        <w:t xml:space="preserve">2 </w:t>
      </w:r>
      <w:r>
        <w:rPr>
          <w:rFonts w:hint="eastAsia" w:ascii="黑体" w:hAnsi="黑体" w:eastAsia="黑体"/>
          <w:highlight w:val="none"/>
        </w:rPr>
        <w:t>建设云数据中心，促进数据资源大汇聚</w:t>
      </w:r>
      <w:bookmarkEnd w:id="395"/>
    </w:p>
    <w:p>
      <w:pPr>
        <w:pStyle w:val="6"/>
        <w:rPr>
          <w:highlight w:val="none"/>
        </w:rPr>
      </w:pPr>
      <w:r>
        <w:rPr>
          <w:rFonts w:hint="eastAsia"/>
          <w:highlight w:val="none"/>
        </w:rPr>
        <w:t>3.</w:t>
      </w:r>
      <w:r>
        <w:rPr>
          <w:highlight w:val="none"/>
        </w:rPr>
        <w:t>2</w:t>
      </w:r>
      <w:r>
        <w:rPr>
          <w:rFonts w:hint="eastAsia"/>
          <w:highlight w:val="none"/>
        </w:rPr>
        <w:t>.1 目标定位</w:t>
      </w:r>
    </w:p>
    <w:p>
      <w:pPr>
        <w:ind w:firstLine="560" w:firstLineChars="200"/>
        <w:rPr>
          <w:highlight w:val="none"/>
        </w:rPr>
      </w:pPr>
      <w:r>
        <w:rPr>
          <w:rFonts w:hint="eastAsia"/>
          <w:highlight w:val="none"/>
        </w:rPr>
        <w:t>综合考虑宜春市的资源禀赋、网络条件、经济发展情况等，数据中心并不作为宜春市大力发展的产业，而是作为本地及赣西地区大数据产业发展的重要基础设施。规划云数据中心机架建设规模达到4000架，PUE值优于1.4，采用云计算技术对数据中心资源进行“云化”管理，全面承载宜春市政务、民生和行业应用。</w:t>
      </w:r>
    </w:p>
    <w:p>
      <w:pPr>
        <w:pStyle w:val="6"/>
        <w:rPr>
          <w:highlight w:val="none"/>
        </w:rPr>
      </w:pPr>
      <w:r>
        <w:rPr>
          <w:rFonts w:hint="eastAsia"/>
          <w:highlight w:val="none"/>
        </w:rPr>
        <w:t>3.</w:t>
      </w:r>
      <w:r>
        <w:rPr>
          <w:highlight w:val="none"/>
        </w:rPr>
        <w:t>2</w:t>
      </w:r>
      <w:r>
        <w:rPr>
          <w:rFonts w:hint="eastAsia"/>
          <w:highlight w:val="none"/>
        </w:rPr>
        <w:t>.2 发展方向</w:t>
      </w:r>
    </w:p>
    <w:p>
      <w:pPr>
        <w:ind w:firstLine="562" w:firstLineChars="200"/>
        <w:rPr>
          <w:b/>
          <w:highlight w:val="none"/>
        </w:rPr>
      </w:pPr>
      <w:r>
        <w:rPr>
          <w:rFonts w:hint="eastAsia"/>
          <w:b/>
          <w:highlight w:val="none"/>
        </w:rPr>
        <w:t>1、提供政务云服务</w:t>
      </w:r>
    </w:p>
    <w:p>
      <w:pPr>
        <w:ind w:firstLine="560" w:firstLineChars="200"/>
        <w:rPr>
          <w:b/>
          <w:highlight w:val="none"/>
        </w:rPr>
      </w:pPr>
      <w:r>
        <w:rPr>
          <w:rFonts w:hint="eastAsia"/>
          <w:highlight w:val="none"/>
        </w:rPr>
        <w:t>面向宜春市及赣西地区政府各委办局提供政务云服务，争取江西省政务云第二节点落地，推动政务数据资源的汇聚，满足政府数据存储和计算需求，解决政府信息化建设过程中存在的信息化投入成本高、运维难度大、数据无法共享、网络安全存在隐患等问题。</w:t>
      </w:r>
    </w:p>
    <w:p>
      <w:pPr>
        <w:ind w:firstLine="562" w:firstLineChars="200"/>
        <w:rPr>
          <w:b/>
          <w:highlight w:val="none"/>
        </w:rPr>
      </w:pPr>
      <w:r>
        <w:rPr>
          <w:b/>
          <w:highlight w:val="none"/>
        </w:rPr>
        <w:t>2</w:t>
      </w:r>
      <w:r>
        <w:rPr>
          <w:rFonts w:hint="eastAsia"/>
          <w:b/>
          <w:highlight w:val="none"/>
        </w:rPr>
        <w:t>、提供行业云服务</w:t>
      </w:r>
    </w:p>
    <w:p>
      <w:pPr>
        <w:ind w:firstLine="560" w:firstLineChars="200"/>
        <w:rPr>
          <w:highlight w:val="none"/>
        </w:rPr>
      </w:pPr>
      <w:r>
        <w:rPr>
          <w:rFonts w:hint="eastAsia"/>
          <w:highlight w:val="none"/>
        </w:rPr>
        <w:t>重点针对工业制造、现代农业、中医药、锂电新能源和数字文娱等行业，开发满足行业特点的行业云产品，提供行业云服务。积极对接工业制造、现代农业、中医药、锂电新能源和数字文娱企业需求，引导企业应用向云平台迁移，鼓励企业上云，汇聚行业数据资源，推动行业数据共享、增值和创新应用。</w:t>
      </w:r>
    </w:p>
    <w:p>
      <w:pPr>
        <w:pStyle w:val="6"/>
        <w:rPr>
          <w:highlight w:val="none"/>
        </w:rPr>
      </w:pPr>
      <w:r>
        <w:rPr>
          <w:rFonts w:hint="eastAsia"/>
          <w:highlight w:val="none"/>
        </w:rPr>
        <w:t>3.</w:t>
      </w:r>
      <w:r>
        <w:rPr>
          <w:highlight w:val="none"/>
        </w:rPr>
        <w:t>2</w:t>
      </w:r>
      <w:r>
        <w:rPr>
          <w:rFonts w:hint="eastAsia"/>
          <w:highlight w:val="none"/>
        </w:rPr>
        <w:t>.3</w:t>
      </w:r>
      <w:r>
        <w:rPr>
          <w:highlight w:val="none"/>
        </w:rPr>
        <w:t xml:space="preserve"> </w:t>
      </w:r>
      <w:r>
        <w:rPr>
          <w:rFonts w:hint="eastAsia"/>
          <w:highlight w:val="none"/>
        </w:rPr>
        <w:t>实施路径</w:t>
      </w:r>
    </w:p>
    <w:p>
      <w:pPr>
        <w:ind w:firstLine="560" w:firstLineChars="200"/>
        <w:rPr>
          <w:rFonts w:ascii="Times New Roman" w:hAnsi="Times New Roman" w:cs="Times New Roman"/>
          <w:highlight w:val="none"/>
        </w:rPr>
      </w:pPr>
      <w:r>
        <w:rPr>
          <w:rFonts w:hint="eastAsia"/>
          <w:highlight w:val="none"/>
        </w:rPr>
        <w:t>综合考虑宜阳新区能源、环境、交通等要素，规划初期云数据中心主要承载宜春市智慧经济产业，规划末期努力成为赣西片区智慧产业发展核心载体，争取成为江西省数据中心重要节点。</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2018</w:t>
      </w:r>
      <w:r>
        <w:rPr>
          <w:rFonts w:ascii="Times New Roman" w:hAnsi="Times New Roman" w:cs="Times New Roman"/>
          <w:b/>
          <w:highlight w:val="none"/>
        </w:rPr>
        <w:t>-2020</w:t>
      </w:r>
      <w:r>
        <w:rPr>
          <w:rFonts w:hint="eastAsia" w:ascii="Times New Roman" w:hAnsi="Times New Roman" w:cs="Times New Roman"/>
          <w:b/>
          <w:highlight w:val="none"/>
        </w:rPr>
        <w:t>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建设云数据中心。</w:t>
      </w:r>
      <w:r>
        <w:rPr>
          <w:rFonts w:hint="eastAsia" w:ascii="Times New Roman" w:hAnsi="Times New Roman" w:cs="Times New Roman"/>
          <w:highlight w:val="none"/>
        </w:rPr>
        <w:t>基本建成</w:t>
      </w:r>
      <w:r>
        <w:rPr>
          <w:rFonts w:ascii="Times New Roman" w:hAnsi="Times New Roman" w:cs="Times New Roman"/>
          <w:highlight w:val="none"/>
        </w:rPr>
        <w:t>4</w:t>
      </w:r>
      <w:r>
        <w:rPr>
          <w:rFonts w:hint="eastAsia" w:ascii="Times New Roman" w:hAnsi="Times New Roman" w:cs="Times New Roman"/>
          <w:highlight w:val="none"/>
        </w:rPr>
        <w:t>0</w:t>
      </w:r>
      <w:r>
        <w:rPr>
          <w:rFonts w:ascii="Times New Roman" w:hAnsi="Times New Roman" w:cs="Times New Roman"/>
          <w:highlight w:val="none"/>
        </w:rPr>
        <w:t>00个</w:t>
      </w:r>
      <w:r>
        <w:rPr>
          <w:rFonts w:hint="eastAsia" w:ascii="Times New Roman" w:hAnsi="Times New Roman" w:cs="Times New Roman"/>
          <w:highlight w:val="none"/>
        </w:rPr>
        <w:t>机架规模的云数据中心，具备云计算服务能力。</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推进政务系统迁移</w:t>
      </w:r>
      <w:r>
        <w:rPr>
          <w:rFonts w:hint="eastAsia" w:ascii="Times New Roman" w:hAnsi="Times New Roman" w:cs="Times New Roman"/>
          <w:highlight w:val="none"/>
        </w:rPr>
        <w:t>。重点建设政务云，将现有政务系统分批逐步迁入云数据中心，为各政府部门提供按需分配、动态扩展的计算、存储资源。</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w:t>
      </w:r>
      <w:r>
        <w:rPr>
          <w:rFonts w:ascii="Times New Roman" w:hAnsi="Times New Roman" w:cs="Times New Roman"/>
          <w:b/>
          <w:highlight w:val="none"/>
        </w:rPr>
        <w:t>21-20</w:t>
      </w:r>
      <w:r>
        <w:rPr>
          <w:rFonts w:hint="eastAsia" w:ascii="Times New Roman" w:hAnsi="Times New Roman" w:cs="Times New Roman"/>
          <w:b/>
          <w:highlight w:val="none"/>
        </w:rPr>
        <w:t>25年：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推进行业云建设</w:t>
      </w:r>
      <w:r>
        <w:rPr>
          <w:rFonts w:hint="eastAsia" w:ascii="Times New Roman" w:hAnsi="Times New Roman" w:cs="Times New Roman"/>
          <w:highlight w:val="none"/>
        </w:rPr>
        <w:t>。重点面向工业制造、现代农业、中医药、锂电新能源和数字文娱等行业，开发满足行业发展特点的行业云产品，吸引</w:t>
      </w:r>
      <w:r>
        <w:rPr>
          <w:rFonts w:hint="eastAsia"/>
          <w:highlight w:val="none"/>
        </w:rPr>
        <w:t>工业制造、现代农业、中医药、锂电新能源和数字文娱</w:t>
      </w:r>
      <w:r>
        <w:rPr>
          <w:rFonts w:hint="eastAsia" w:ascii="Times New Roman" w:hAnsi="Times New Roman" w:cs="Times New Roman"/>
          <w:highlight w:val="none"/>
        </w:rPr>
        <w:t>等企业客户入驻云数据中心。</w:t>
      </w:r>
    </w:p>
    <w:p>
      <w:pPr>
        <w:ind w:firstLine="562" w:firstLineChars="200"/>
        <w:rPr>
          <w:rFonts w:ascii="Times New Roman" w:hAnsi="Times New Roman" w:cs="Times New Roman"/>
          <w:highlight w:val="none"/>
        </w:rPr>
      </w:pPr>
      <w:r>
        <w:rPr>
          <w:rFonts w:hint="eastAsia"/>
          <w:b/>
          <w:highlight w:val="none"/>
        </w:rPr>
        <w:t>打造赣西区域性云数据中心</w:t>
      </w:r>
      <w:r>
        <w:rPr>
          <w:rFonts w:hint="eastAsia" w:ascii="Times New Roman" w:hAnsi="Times New Roman" w:cs="Times New Roman"/>
          <w:b/>
          <w:highlight w:val="none"/>
        </w:rPr>
        <w:t>。</w:t>
      </w:r>
      <w:r>
        <w:rPr>
          <w:rFonts w:hint="eastAsia" w:ascii="Times New Roman" w:hAnsi="Times New Roman" w:cs="Times New Roman"/>
          <w:highlight w:val="none"/>
        </w:rPr>
        <w:t>积极引入赣西地区锂电新能源、旅游、大健康等跨区域数据资源落地，</w:t>
      </w:r>
      <w:r>
        <w:rPr>
          <w:rFonts w:hint="eastAsia"/>
          <w:highlight w:val="none"/>
        </w:rPr>
        <w:t>促进本地数据和跨区域数据互动，激发跨地域、跨层级的大数据应用创新，打造赣西区域性云数据中心。</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w:t>
      </w:r>
      <w:r>
        <w:rPr>
          <w:rFonts w:ascii="Times New Roman" w:hAnsi="Times New Roman" w:cs="Times New Roman"/>
          <w:b/>
          <w:highlight w:val="none"/>
        </w:rPr>
        <w:t>2</w:t>
      </w:r>
      <w:r>
        <w:rPr>
          <w:rFonts w:hint="eastAsia" w:ascii="Times New Roman" w:hAnsi="Times New Roman" w:cs="Times New Roman"/>
          <w:b/>
          <w:highlight w:val="none"/>
        </w:rPr>
        <w:t>6</w:t>
      </w:r>
      <w:r>
        <w:rPr>
          <w:rFonts w:ascii="Times New Roman" w:hAnsi="Times New Roman" w:cs="Times New Roman"/>
          <w:b/>
          <w:highlight w:val="none"/>
        </w:rPr>
        <w:t>-20</w:t>
      </w:r>
      <w:r>
        <w:rPr>
          <w:rFonts w:hint="eastAsia" w:ascii="Times New Roman" w:hAnsi="Times New Roman" w:cs="Times New Roman"/>
          <w:b/>
          <w:highlight w:val="none"/>
        </w:rPr>
        <w:t>30年：</w:t>
      </w:r>
    </w:p>
    <w:p>
      <w:pPr>
        <w:ind w:firstLine="562" w:firstLineChars="200"/>
        <w:rPr>
          <w:highlight w:val="none"/>
        </w:rPr>
      </w:pPr>
      <w:r>
        <w:rPr>
          <w:rFonts w:hint="eastAsia" w:ascii="Times New Roman" w:hAnsi="Times New Roman" w:cs="Times New Roman"/>
          <w:b/>
          <w:highlight w:val="none"/>
        </w:rPr>
        <w:t>提升云数据中心新技术应用水平。</w:t>
      </w:r>
      <w:r>
        <w:rPr>
          <w:rFonts w:hint="eastAsia" w:ascii="Times New Roman" w:hAnsi="Times New Roman" w:cs="Times New Roman"/>
          <w:highlight w:val="none"/>
        </w:rPr>
        <w:t>推动网络基础设施、电力配套设施和绿色数据中心建设，</w:t>
      </w:r>
      <w:r>
        <w:rPr>
          <w:rFonts w:hint="eastAsia"/>
          <w:highlight w:val="none"/>
        </w:rPr>
        <w:t>鼓励数据中心运营企业开展</w:t>
      </w:r>
      <w:r>
        <w:rPr>
          <w:highlight w:val="none"/>
        </w:rPr>
        <w:t>绿色</w:t>
      </w:r>
      <w:r>
        <w:rPr>
          <w:rFonts w:hint="eastAsia"/>
          <w:highlight w:val="none"/>
        </w:rPr>
        <w:t>节能、云存储、模块化等新技术的应用，并根据实际需求，提升云数据中心的承载能力和服务能力。</w:t>
      </w:r>
    </w:p>
    <w:p>
      <w:pPr>
        <w:pStyle w:val="5"/>
        <w:spacing w:line="377" w:lineRule="auto"/>
        <w:rPr>
          <w:rFonts w:ascii="黑体" w:hAnsi="黑体" w:eastAsia="黑体"/>
          <w:highlight w:val="none"/>
        </w:rPr>
      </w:pPr>
      <w:bookmarkStart w:id="396" w:name="_Toc528843197"/>
      <w:r>
        <w:rPr>
          <w:rFonts w:hint="eastAsia" w:ascii="黑体" w:hAnsi="黑体" w:eastAsia="黑体"/>
          <w:highlight w:val="none"/>
        </w:rPr>
        <w:t>3.3</w:t>
      </w:r>
      <w:r>
        <w:rPr>
          <w:rFonts w:ascii="黑体" w:hAnsi="黑体" w:eastAsia="黑体"/>
          <w:highlight w:val="none"/>
        </w:rPr>
        <w:t xml:space="preserve"> </w:t>
      </w:r>
      <w:r>
        <w:rPr>
          <w:rFonts w:hint="eastAsia" w:ascii="黑体" w:hAnsi="黑体" w:eastAsia="黑体"/>
          <w:highlight w:val="none"/>
        </w:rPr>
        <w:t>建设呼叫中心，实现大数据应用闭环</w:t>
      </w:r>
      <w:bookmarkEnd w:id="396"/>
    </w:p>
    <w:p>
      <w:pPr>
        <w:ind w:firstLine="560" w:firstLineChars="200"/>
        <w:rPr>
          <w:highlight w:val="none"/>
        </w:rPr>
      </w:pPr>
      <w:r>
        <w:rPr>
          <w:rFonts w:hint="eastAsia"/>
          <w:highlight w:val="none"/>
        </w:rPr>
        <w:t>在大数据产业链中，呼叫中心是重要的数据采集渠道和大数据应用领域，可推动海量数据汇聚的同时，体现大数据应用价值。目前全国呼叫中心的建设不均衡，经济发达地区中心城市在坐席建设规模上处在领先位置，但随着中心城市劳动力成本和运营成本的上升，呼叫中心正在由高成本地区向低成本地区转移，宜春迎来一定的发展机遇。</w:t>
      </w:r>
    </w:p>
    <w:p>
      <w:pPr>
        <w:pStyle w:val="6"/>
        <w:rPr>
          <w:highlight w:val="none"/>
        </w:rPr>
      </w:pPr>
      <w:r>
        <w:rPr>
          <w:rFonts w:hint="eastAsia"/>
          <w:highlight w:val="none"/>
        </w:rPr>
        <w:t>3.3.1 目标定位</w:t>
      </w:r>
    </w:p>
    <w:p>
      <w:pPr>
        <w:ind w:firstLine="560" w:firstLineChars="200"/>
        <w:rPr>
          <w:rFonts w:ascii="Times New Roman" w:hAnsi="Times New Roman" w:cs="Times New Roman"/>
          <w:highlight w:val="none"/>
        </w:rPr>
      </w:pPr>
      <w:r>
        <w:rPr>
          <w:rFonts w:hint="eastAsia" w:ascii="Times New Roman" w:hAnsi="Times New Roman" w:cs="Times New Roman"/>
          <w:highlight w:val="none"/>
        </w:rPr>
        <w:t>建设6000坐席规模的多媒体呼叫中心，引入呼叫中心运营企业开展托管型呼叫中心服务和外包型呼叫中心服务，推动呼叫中心服务外包向专业化、规模化、品牌化发展，并通过大数据分析技术，进行精准营销和服务，以提升用户感知。</w:t>
      </w:r>
      <w:r>
        <w:rPr>
          <w:rFonts w:hint="eastAsia"/>
          <w:highlight w:val="none"/>
        </w:rPr>
        <w:t>到2030年，把智慧小镇打造为全国有重要影响力的呼叫中心产业基地，培育形成呼叫中心产业集群，智慧小镇呼叫中心企业营业收入超过10亿元，引入10家以上的国内外知名企业，从业人员超过1万人。</w:t>
      </w:r>
    </w:p>
    <w:p>
      <w:pPr>
        <w:pStyle w:val="6"/>
        <w:rPr>
          <w:highlight w:val="none"/>
        </w:rPr>
      </w:pPr>
      <w:r>
        <w:rPr>
          <w:rFonts w:hint="eastAsia"/>
          <w:highlight w:val="none"/>
        </w:rPr>
        <w:t>3.3.2 发展方向</w:t>
      </w:r>
    </w:p>
    <w:p>
      <w:pPr>
        <w:ind w:firstLine="562" w:firstLineChars="200"/>
        <w:rPr>
          <w:b/>
          <w:highlight w:val="none"/>
        </w:rPr>
      </w:pPr>
      <w:r>
        <w:rPr>
          <w:rFonts w:hint="eastAsia"/>
          <w:b/>
          <w:highlight w:val="none"/>
        </w:rPr>
        <w:t>1、发展外包型呼叫中心服务</w:t>
      </w:r>
    </w:p>
    <w:p>
      <w:pPr>
        <w:ind w:firstLine="560" w:firstLineChars="200"/>
        <w:rPr>
          <w:highlight w:val="none"/>
        </w:rPr>
      </w:pPr>
      <w:r>
        <w:rPr>
          <w:rFonts w:hint="eastAsia"/>
          <w:highlight w:val="none"/>
        </w:rPr>
        <w:t>引进培育外包型呼叫中心解决方案提供商，为智慧经济产业提供各种层次的呼叫中心外包服务，包含建设外包、应用外包、系统硬件外包、坐席外包、运营管理外包、招聘/培训外包等业务。</w:t>
      </w:r>
      <w:r>
        <w:rPr>
          <w:rFonts w:hint="eastAsia" w:ascii="Times New Roman" w:hAnsi="Times New Roman" w:cs="Times New Roman"/>
          <w:highlight w:val="none"/>
        </w:rPr>
        <w:t>拓展针对呼叫中心业务的客服语音分析能力，实现在传统呼叫中心的客户服务基础上，</w:t>
      </w:r>
      <w:r>
        <w:rPr>
          <w:rFonts w:ascii="Times New Roman" w:hAnsi="Times New Roman" w:cs="Times New Roman"/>
          <w:highlight w:val="none"/>
        </w:rPr>
        <w:t>增加</w:t>
      </w:r>
      <w:r>
        <w:rPr>
          <w:rFonts w:hint="eastAsia" w:ascii="Times New Roman" w:hAnsi="Times New Roman" w:cs="Times New Roman"/>
          <w:highlight w:val="none"/>
        </w:rPr>
        <w:t>自动语音识别、语音交互等人工智能应用。</w:t>
      </w:r>
    </w:p>
    <w:p>
      <w:pPr>
        <w:ind w:firstLine="562" w:firstLineChars="200"/>
        <w:rPr>
          <w:b/>
          <w:highlight w:val="none"/>
        </w:rPr>
      </w:pPr>
      <w:r>
        <w:rPr>
          <w:rFonts w:hint="eastAsia"/>
          <w:b/>
          <w:highlight w:val="none"/>
        </w:rPr>
        <w:t>2、发展托管型呼叫中心服务</w:t>
      </w:r>
    </w:p>
    <w:p>
      <w:pPr>
        <w:ind w:firstLine="560" w:firstLineChars="200"/>
        <w:rPr>
          <w:highlight w:val="none"/>
        </w:rPr>
      </w:pPr>
      <w:r>
        <w:rPr>
          <w:rFonts w:hint="eastAsia"/>
          <w:highlight w:val="none"/>
        </w:rPr>
        <w:t>引进培育托管型呼叫中心解决方案提供商，运用云计算和大数据技术，集中构建高品质和高处理能力的呼叫中心系统，通过远程坐席功能，将坐席分配给不同企业使用，并负责系统的运行与维护，重点为政务、教育、物流、电子商务、旅游、数字文娱等行业提供托管型呼叫中心服务。</w:t>
      </w:r>
    </w:p>
    <w:p>
      <w:pPr>
        <w:pStyle w:val="6"/>
        <w:rPr>
          <w:highlight w:val="none"/>
        </w:rPr>
      </w:pPr>
      <w:r>
        <w:rPr>
          <w:rFonts w:hint="eastAsia"/>
          <w:highlight w:val="none"/>
        </w:rPr>
        <w:t>3.3.3</w:t>
      </w:r>
      <w:r>
        <w:rPr>
          <w:highlight w:val="none"/>
        </w:rPr>
        <w:t xml:space="preserve"> </w:t>
      </w:r>
      <w:r>
        <w:rPr>
          <w:rFonts w:hint="eastAsia"/>
          <w:highlight w:val="none"/>
        </w:rPr>
        <w:t>实施路径</w:t>
      </w:r>
    </w:p>
    <w:p>
      <w:pPr>
        <w:ind w:firstLine="560" w:firstLineChars="200"/>
        <w:rPr>
          <w:rFonts w:ascii="Times New Roman" w:hAnsi="Times New Roman" w:cs="Times New Roman"/>
          <w:highlight w:val="none"/>
        </w:rPr>
      </w:pPr>
      <w:r>
        <w:rPr>
          <w:rFonts w:hint="eastAsia" w:ascii="Times New Roman" w:hAnsi="Times New Roman" w:cs="Times New Roman"/>
          <w:highlight w:val="none"/>
        </w:rPr>
        <w:t>充分利用政策、人力成本等优势，规划初期积极争取国内外知名呼叫中心企业落户智慧小镇，</w:t>
      </w:r>
      <w:r>
        <w:rPr>
          <w:rFonts w:ascii="Times New Roman" w:hAnsi="Times New Roman" w:cs="Times New Roman"/>
          <w:highlight w:val="none"/>
        </w:rPr>
        <w:t>服务</w:t>
      </w:r>
      <w:r>
        <w:rPr>
          <w:rFonts w:hint="eastAsia" w:ascii="Times New Roman" w:hAnsi="Times New Roman" w:cs="Times New Roman"/>
          <w:highlight w:val="none"/>
        </w:rPr>
        <w:t>本地智慧经济产业发展，规划末期加强呼叫中心大数据分析服务能力，增强呼叫中心运营能力。</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2018</w:t>
      </w:r>
      <w:r>
        <w:rPr>
          <w:rFonts w:ascii="Times New Roman" w:hAnsi="Times New Roman" w:cs="Times New Roman"/>
          <w:b/>
          <w:highlight w:val="none"/>
        </w:rPr>
        <w:t>-2020</w:t>
      </w:r>
      <w:r>
        <w:rPr>
          <w:rFonts w:hint="eastAsia" w:ascii="Times New Roman" w:hAnsi="Times New Roman" w:cs="Times New Roman"/>
          <w:b/>
          <w:highlight w:val="none"/>
        </w:rPr>
        <w:t>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建设多媒体呼叫中心。</w:t>
      </w:r>
      <w:r>
        <w:rPr>
          <w:rFonts w:hint="eastAsia" w:ascii="Times New Roman" w:hAnsi="Times New Roman" w:cs="Times New Roman"/>
          <w:highlight w:val="none"/>
        </w:rPr>
        <w:t>依托华云呼叫中心、华唐集团等呼叫中心运营企业为政务、教育、物流、电子商务、旅游等领域提供呼叫中心外包服务；与华为、腾讯、网易等大型企业接洽，争取大型企业客服中心落地智慧小镇。</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建设呼叫中心人才培养基地。</w:t>
      </w:r>
      <w:r>
        <w:rPr>
          <w:rFonts w:hint="eastAsia" w:ascii="Times New Roman" w:hAnsi="Times New Roman" w:cs="Times New Roman"/>
          <w:highlight w:val="none"/>
        </w:rPr>
        <w:t>建设呼叫中心人才培养基地，针对沟通技巧、业务知识、实战训练等进行培训，为智慧小镇呼叫中心产业培养人才。</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发展外包型呼叫中心服务。</w:t>
      </w:r>
      <w:r>
        <w:rPr>
          <w:rFonts w:hint="eastAsia" w:ascii="Times New Roman" w:hAnsi="Times New Roman" w:cs="Times New Roman"/>
          <w:highlight w:val="none"/>
        </w:rPr>
        <w:t>开展多种形式的招商推介，引进外包型呼叫中心解决方案提供商入驻智慧小镇，为政务、教育、物流、电子商务、旅游等客服中心建设提供呼叫中心外包服务。</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w:t>
      </w:r>
      <w:r>
        <w:rPr>
          <w:rFonts w:ascii="Times New Roman" w:hAnsi="Times New Roman" w:cs="Times New Roman"/>
          <w:b/>
          <w:highlight w:val="none"/>
        </w:rPr>
        <w:t>21-20</w:t>
      </w:r>
      <w:r>
        <w:rPr>
          <w:rFonts w:hint="eastAsia" w:ascii="Times New Roman" w:hAnsi="Times New Roman" w:cs="Times New Roman"/>
          <w:b/>
          <w:highlight w:val="none"/>
        </w:rPr>
        <w:t>25年：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发展托管型呼叫中心服务。</w:t>
      </w:r>
      <w:r>
        <w:rPr>
          <w:rFonts w:hint="eastAsia" w:ascii="Times New Roman" w:hAnsi="Times New Roman" w:cs="Times New Roman"/>
          <w:highlight w:val="none"/>
        </w:rPr>
        <w:t>引入北京讯鸟、维音数码、天润融通等托管型呼叫中心企业为数字文娱企业提供云呼叫中心服务。拓展针对呼叫中心业务的客服语音分析能力，实现大数据分析、人工智能技术在传统呼叫中心的客户服务、语音人机交互等领域的广泛应用，提高客户服务体验。</w:t>
      </w:r>
    </w:p>
    <w:p>
      <w:pPr>
        <w:ind w:firstLine="562" w:firstLineChars="200"/>
        <w:rPr>
          <w:rFonts w:ascii="Times New Roman" w:hAnsi="Times New Roman" w:cs="Times New Roman"/>
          <w:b/>
          <w:highlight w:val="none"/>
        </w:rPr>
      </w:pPr>
      <w:r>
        <w:rPr>
          <w:rFonts w:hint="eastAsia" w:ascii="Times New Roman" w:hAnsi="Times New Roman" w:cs="Times New Roman"/>
          <w:b/>
          <w:highlight w:val="none"/>
        </w:rPr>
        <w:t>20</w:t>
      </w:r>
      <w:r>
        <w:rPr>
          <w:rFonts w:ascii="Times New Roman" w:hAnsi="Times New Roman" w:cs="Times New Roman"/>
          <w:b/>
          <w:highlight w:val="none"/>
        </w:rPr>
        <w:t>2</w:t>
      </w:r>
      <w:r>
        <w:rPr>
          <w:rFonts w:hint="eastAsia" w:ascii="Times New Roman" w:hAnsi="Times New Roman" w:cs="Times New Roman"/>
          <w:b/>
          <w:highlight w:val="none"/>
        </w:rPr>
        <w:t>6</w:t>
      </w:r>
      <w:r>
        <w:rPr>
          <w:rFonts w:ascii="Times New Roman" w:hAnsi="Times New Roman" w:cs="Times New Roman"/>
          <w:b/>
          <w:highlight w:val="none"/>
        </w:rPr>
        <w:t>-20</w:t>
      </w:r>
      <w:r>
        <w:rPr>
          <w:rFonts w:hint="eastAsia" w:ascii="Times New Roman" w:hAnsi="Times New Roman" w:cs="Times New Roman"/>
          <w:b/>
          <w:highlight w:val="none"/>
        </w:rPr>
        <w:t>30年：</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增强呼叫中心运营能力。</w:t>
      </w:r>
      <w:r>
        <w:rPr>
          <w:rFonts w:hint="eastAsia" w:ascii="Times New Roman" w:hAnsi="Times New Roman" w:cs="Times New Roman"/>
          <w:highlight w:val="none"/>
        </w:rPr>
        <w:t>依托呼叫中心运营企业，打造基于客户数据分析、客户细分的精准营销支持能力，提高呼叫中心运营能力和成本效益，聚集形成辐射全国的呼叫中心产业基地。</w:t>
      </w:r>
    </w:p>
    <w:p>
      <w:pPr>
        <w:pStyle w:val="4"/>
        <w:rPr>
          <w:highlight w:val="none"/>
        </w:rPr>
      </w:pPr>
      <w:bookmarkStart w:id="397" w:name="_Toc528843198"/>
      <w:r>
        <w:rPr>
          <w:rFonts w:hint="eastAsia"/>
          <w:highlight w:val="none"/>
        </w:rPr>
        <w:t>（四）打造产业创新基地，推进动能转换</w:t>
      </w:r>
      <w:bookmarkEnd w:id="397"/>
    </w:p>
    <w:p>
      <w:pPr>
        <w:pStyle w:val="5"/>
        <w:spacing w:line="377" w:lineRule="auto"/>
        <w:rPr>
          <w:rFonts w:ascii="黑体" w:hAnsi="黑体" w:eastAsia="黑体"/>
          <w:highlight w:val="none"/>
        </w:rPr>
      </w:pPr>
      <w:bookmarkStart w:id="398" w:name="_Toc528843199"/>
      <w:r>
        <w:rPr>
          <w:rFonts w:hint="eastAsia" w:ascii="黑体" w:hAnsi="黑体" w:eastAsia="黑体"/>
          <w:highlight w:val="none"/>
        </w:rPr>
        <w:t>4.1</w:t>
      </w:r>
      <w:r>
        <w:rPr>
          <w:rFonts w:ascii="黑体" w:hAnsi="黑体" w:eastAsia="黑体"/>
          <w:highlight w:val="none"/>
        </w:rPr>
        <w:t xml:space="preserve"> </w:t>
      </w:r>
      <w:r>
        <w:rPr>
          <w:rFonts w:hint="eastAsia" w:ascii="黑体" w:hAnsi="黑体" w:eastAsia="黑体"/>
          <w:highlight w:val="none"/>
        </w:rPr>
        <w:t>发展</w:t>
      </w:r>
      <w:r>
        <w:rPr>
          <w:rFonts w:ascii="黑体" w:hAnsi="黑体" w:eastAsia="黑体"/>
          <w:highlight w:val="none"/>
        </w:rPr>
        <w:t>数娱产业</w:t>
      </w:r>
      <w:r>
        <w:rPr>
          <w:rFonts w:hint="eastAsia" w:ascii="黑体" w:hAnsi="黑体" w:eastAsia="黑体"/>
          <w:highlight w:val="none"/>
        </w:rPr>
        <w:t>，打造省内领先集聚地</w:t>
      </w:r>
      <w:bookmarkEnd w:id="398"/>
    </w:p>
    <w:p>
      <w:pPr>
        <w:pStyle w:val="6"/>
        <w:rPr>
          <w:highlight w:val="none"/>
        </w:rPr>
      </w:pPr>
      <w:r>
        <w:rPr>
          <w:rFonts w:hint="eastAsia"/>
          <w:highlight w:val="none"/>
        </w:rPr>
        <w:t>4.1.1 基础现状</w:t>
      </w:r>
    </w:p>
    <w:p>
      <w:pPr>
        <w:ind w:firstLine="560" w:firstLineChars="200"/>
        <w:rPr>
          <w:highlight w:val="none"/>
        </w:rPr>
      </w:pPr>
      <w:r>
        <w:rPr>
          <w:rFonts w:hint="eastAsia"/>
          <w:highlight w:val="none"/>
        </w:rPr>
        <w:t>动漫、网络游戏、网络文学、网络视频、网络音乐、</w:t>
      </w:r>
      <w:r>
        <w:rPr>
          <w:highlight w:val="none"/>
        </w:rPr>
        <w:t>网络直播等数字文化娱乐</w:t>
      </w:r>
      <w:r>
        <w:rPr>
          <w:rFonts w:hint="eastAsia"/>
          <w:highlight w:val="none"/>
        </w:rPr>
        <w:t>产业在我国属于朝阳产业，发展前景广阔，也是国家“十三五”战略新兴产业的重要组成部分，各地正在积极部署。智慧小镇在此背景下发展数字文化娱乐产业，是助力宜春市实现产业创新、推动经济转型升级的不二选择。</w:t>
      </w:r>
    </w:p>
    <w:p>
      <w:pPr>
        <w:ind w:firstLine="560" w:firstLineChars="200"/>
        <w:rPr>
          <w:highlight w:val="none"/>
        </w:rPr>
      </w:pPr>
      <w:r>
        <w:rPr>
          <w:highlight w:val="none"/>
        </w:rPr>
        <w:t>目前来看</w:t>
      </w:r>
      <w:r>
        <w:rPr>
          <w:rFonts w:hint="eastAsia"/>
          <w:highlight w:val="none"/>
        </w:rPr>
        <w:t>，宜春市数字文化娱乐产业基础较为薄弱，缺乏有影响力的企业。然而宜春禅宗文化底蕴深厚，旅游资源丰富，这些优势可为今后数字文化娱乐产业的发展提供较好创意，也为打造高价值IP产品奠定了基础。</w:t>
      </w:r>
    </w:p>
    <w:p>
      <w:pPr>
        <w:pStyle w:val="6"/>
        <w:rPr>
          <w:highlight w:val="none"/>
        </w:rPr>
      </w:pPr>
      <w:r>
        <w:rPr>
          <w:rFonts w:hint="eastAsia"/>
          <w:highlight w:val="none"/>
        </w:rPr>
        <w:t>4.1.2 发展趋势</w:t>
      </w:r>
    </w:p>
    <w:p>
      <w:pPr>
        <w:ind w:firstLine="562" w:firstLineChars="200"/>
        <w:rPr>
          <w:highlight w:val="none"/>
        </w:rPr>
      </w:pPr>
      <w:r>
        <w:rPr>
          <w:rFonts w:hint="eastAsia"/>
          <w:b/>
          <w:highlight w:val="none"/>
        </w:rPr>
        <w:t>数字文化</w:t>
      </w:r>
      <w:r>
        <w:rPr>
          <w:b/>
          <w:highlight w:val="none"/>
        </w:rPr>
        <w:t>娱乐</w:t>
      </w:r>
      <w:r>
        <w:rPr>
          <w:rFonts w:hint="eastAsia"/>
          <w:b/>
          <w:highlight w:val="none"/>
        </w:rPr>
        <w:t>产业成为经济社会发展新支柱。</w:t>
      </w:r>
      <w:r>
        <w:rPr>
          <w:rFonts w:hint="eastAsia"/>
          <w:highlight w:val="none"/>
        </w:rPr>
        <w:t>近年来，文化娱乐产业作为一项新兴产业迅速发展起来，并且逐渐凸显出其在国民经济发展中的重要作用。随着互联网、移动互联网的快速普及，带动了以移动终端为载体的数字文化娱乐产业的快速发展。《“十三五”国家战略性新兴产业发展规划》中提出，到2020年，我国争取发展形成文化引领、技术先进、链条完整的数字创意产业发展格局，相关行业产值规模达到8万亿元。数字文化娱乐产业是数字创意产业的重要组成部分，将成为经济发展新支柱。</w:t>
      </w:r>
    </w:p>
    <w:p>
      <w:pPr>
        <w:ind w:firstLine="562" w:firstLineChars="200"/>
        <w:rPr>
          <w:highlight w:val="none"/>
        </w:rPr>
      </w:pPr>
      <w:r>
        <w:rPr>
          <w:b/>
          <w:highlight w:val="none"/>
        </w:rPr>
        <w:t>数字文化娱乐</w:t>
      </w:r>
      <w:r>
        <w:rPr>
          <w:rFonts w:hint="eastAsia"/>
          <w:b/>
          <w:highlight w:val="none"/>
        </w:rPr>
        <w:t>产业将保持高速增长。</w:t>
      </w:r>
      <w:r>
        <w:rPr>
          <w:rFonts w:hint="eastAsia"/>
          <w:highlight w:val="none"/>
        </w:rPr>
        <w:t>动漫、网络游戏、电竞、网络文学、网络视频、网络音乐、</w:t>
      </w:r>
      <w:r>
        <w:rPr>
          <w:highlight w:val="none"/>
        </w:rPr>
        <w:t>网络直播等行业</w:t>
      </w:r>
      <w:r>
        <w:rPr>
          <w:rFonts w:hint="eastAsia"/>
          <w:highlight w:val="none"/>
        </w:rPr>
        <w:t>在我国还处于起步阶段，近年来一直保持高速增长，属于新兴的朝阳行业。以动漫、</w:t>
      </w:r>
      <w:r>
        <w:rPr>
          <w:highlight w:val="none"/>
        </w:rPr>
        <w:t>网络游戏</w:t>
      </w:r>
      <w:r>
        <w:rPr>
          <w:rFonts w:hint="eastAsia"/>
          <w:highlight w:val="none"/>
        </w:rPr>
        <w:t>产业为例，2010年以来均以每年20%以上的增长率攀升，移动游戏（手游）增长率更是达到40%以上。此外，网络直播、短视频等新兴行业迅速崛起，市场整体营收规模保持4</w:t>
      </w:r>
      <w:r>
        <w:rPr>
          <w:highlight w:val="none"/>
        </w:rPr>
        <w:t>0</w:t>
      </w:r>
      <w:r>
        <w:rPr>
          <w:rFonts w:hint="eastAsia"/>
          <w:highlight w:val="none"/>
        </w:rPr>
        <w:t>%</w:t>
      </w:r>
      <w:r>
        <w:rPr>
          <w:highlight w:val="none"/>
        </w:rPr>
        <w:t>以上增长</w:t>
      </w:r>
      <w:r>
        <w:rPr>
          <w:rFonts w:hint="eastAsia"/>
          <w:highlight w:val="none"/>
        </w:rPr>
        <w:t>。随着数字文化娱乐全民化发展，再加之VR、AR等新技术的成熟，数字文化娱乐产业在未来几年还将迎来一次爆发式发展，行业发展空间巨大。</w:t>
      </w:r>
    </w:p>
    <w:p>
      <w:pPr>
        <w:ind w:firstLine="562" w:firstLineChars="200"/>
        <w:rPr>
          <w:highlight w:val="none"/>
        </w:rPr>
      </w:pPr>
      <w:r>
        <w:rPr>
          <w:rFonts w:hint="eastAsia"/>
          <w:b/>
          <w:highlight w:val="none"/>
        </w:rPr>
        <w:t>产业融合创新成为大趋势。</w:t>
      </w:r>
      <w:r>
        <w:rPr>
          <w:rFonts w:hint="eastAsia"/>
          <w:highlight w:val="none"/>
        </w:rPr>
        <w:t>随着技术、市场等方面的逐步成熟，我国数字文化娱乐产业将从最初的模仿国外逐步过渡到自我创新，走本土化特色发展道路。此外，以优质IP为轴心、多种互动娱乐内容形态协同发展的“泛娱乐”趋势在我国数字文化娱乐产业中日趋明显。动漫、网络游戏、网络文学、网络视听、网络音乐等行业间跨界融合创新将成为未来发展的大趋势。</w:t>
      </w:r>
    </w:p>
    <w:p>
      <w:pPr>
        <w:pStyle w:val="6"/>
        <w:rPr>
          <w:highlight w:val="none"/>
        </w:rPr>
      </w:pPr>
      <w:r>
        <w:rPr>
          <w:rFonts w:hint="eastAsia"/>
          <w:highlight w:val="none"/>
        </w:rPr>
        <w:t>4.1.3 目标定位</w:t>
      </w:r>
    </w:p>
    <w:p>
      <w:pPr>
        <w:ind w:firstLine="562" w:firstLineChars="200"/>
        <w:rPr>
          <w:highlight w:val="none"/>
        </w:rPr>
      </w:pPr>
      <w:r>
        <w:rPr>
          <w:rFonts w:hint="eastAsia"/>
          <w:b/>
          <w:highlight w:val="none"/>
        </w:rPr>
        <w:t>产业起步。</w:t>
      </w:r>
      <w:r>
        <w:rPr>
          <w:rFonts w:hint="eastAsia"/>
          <w:highlight w:val="none"/>
        </w:rPr>
        <w:t>稳步开展企业接洽工作，积极引入一批以动漫</w:t>
      </w:r>
      <w:r>
        <w:rPr>
          <w:highlight w:val="none"/>
        </w:rPr>
        <w:t>网游</w:t>
      </w:r>
      <w:r>
        <w:rPr>
          <w:rFonts w:hint="eastAsia"/>
          <w:highlight w:val="none"/>
        </w:rPr>
        <w:t>为主力的数字文化娱乐企业，以动漫渲染、网游测试、游戏客服等劳动密集环节为切入点，有效承接东部地区产业转移。到2020年，智慧小镇引入10家以上数字文化娱乐企业，企业年营业收入达到5亿元，带动就业500人以上。</w:t>
      </w:r>
    </w:p>
    <w:p>
      <w:pPr>
        <w:ind w:firstLine="562" w:firstLineChars="200"/>
        <w:rPr>
          <w:b/>
          <w:highlight w:val="none"/>
        </w:rPr>
      </w:pPr>
      <w:r>
        <w:rPr>
          <w:b/>
          <w:highlight w:val="none"/>
        </w:rPr>
        <w:t>产业壮大</w:t>
      </w:r>
      <w:r>
        <w:rPr>
          <w:rFonts w:hint="eastAsia"/>
          <w:b/>
          <w:highlight w:val="none"/>
        </w:rPr>
        <w:t>。</w:t>
      </w:r>
      <w:r>
        <w:rPr>
          <w:rFonts w:hint="eastAsia"/>
          <w:highlight w:val="none"/>
        </w:rPr>
        <w:t>加大企业引进及培育力度，一方面加大网络文学、网络视频、网络音乐、</w:t>
      </w:r>
      <w:r>
        <w:rPr>
          <w:highlight w:val="none"/>
        </w:rPr>
        <w:t>网络直播等知名企业的引进力度</w:t>
      </w:r>
      <w:r>
        <w:rPr>
          <w:rFonts w:hint="eastAsia"/>
          <w:highlight w:val="none"/>
        </w:rPr>
        <w:t>，</w:t>
      </w:r>
      <w:r>
        <w:rPr>
          <w:highlight w:val="none"/>
        </w:rPr>
        <w:t>另一方面</w:t>
      </w:r>
      <w:r>
        <w:rPr>
          <w:rFonts w:hint="eastAsia"/>
          <w:highlight w:val="none"/>
        </w:rPr>
        <w:t>推动已落地的动漫、游戏电竞产业向全产业链条延伸，做大做强产业。此外，稳步推进数字文化娱乐培训产业发展，面向本地及赣西地区提供培训服务。到202</w:t>
      </w:r>
      <w:r>
        <w:rPr>
          <w:highlight w:val="none"/>
        </w:rPr>
        <w:t>5</w:t>
      </w:r>
      <w:r>
        <w:rPr>
          <w:rFonts w:hint="eastAsia"/>
          <w:highlight w:val="none"/>
        </w:rPr>
        <w:t>年，智慧小镇引入</w:t>
      </w:r>
      <w:r>
        <w:rPr>
          <w:highlight w:val="none"/>
        </w:rPr>
        <w:t>3</w:t>
      </w:r>
      <w:r>
        <w:rPr>
          <w:rFonts w:hint="eastAsia"/>
          <w:highlight w:val="none"/>
        </w:rPr>
        <w:t>0家以上数字文化娱乐企业，企业年营业收入达到</w:t>
      </w:r>
      <w:r>
        <w:rPr>
          <w:highlight w:val="none"/>
        </w:rPr>
        <w:t>50</w:t>
      </w:r>
      <w:r>
        <w:rPr>
          <w:rFonts w:hint="eastAsia"/>
          <w:highlight w:val="none"/>
        </w:rPr>
        <w:t>亿元，带动就业3500人以上。</w:t>
      </w:r>
    </w:p>
    <w:p>
      <w:pPr>
        <w:ind w:firstLine="562" w:firstLineChars="200"/>
        <w:rPr>
          <w:highlight w:val="none"/>
        </w:rPr>
      </w:pPr>
      <w:r>
        <w:rPr>
          <w:rFonts w:hint="eastAsia"/>
          <w:b/>
          <w:highlight w:val="none"/>
        </w:rPr>
        <w:t>产业创新。</w:t>
      </w:r>
      <w:r>
        <w:rPr>
          <w:rFonts w:hint="eastAsia"/>
          <w:highlight w:val="none"/>
        </w:rPr>
        <w:t>推进企业跨界融合，壮大数字文化娱乐培训产业，做响本地数字文化娱乐特色品牌。到2030年，引入50家以上的数字文化娱乐企业，将智慧小镇打造成省内有重要影响力的数字文化娱乐产业集群及培训高地，企业年营业收入突破200亿元，带动就业1万人以上。</w:t>
      </w:r>
    </w:p>
    <w:p>
      <w:pPr>
        <w:pStyle w:val="6"/>
        <w:rPr>
          <w:highlight w:val="none"/>
        </w:rPr>
      </w:pPr>
      <w:r>
        <w:rPr>
          <w:rFonts w:hint="eastAsia"/>
          <w:highlight w:val="none"/>
        </w:rPr>
        <w:t>4.1.4</w:t>
      </w:r>
      <w:r>
        <w:rPr>
          <w:highlight w:val="none"/>
        </w:rPr>
        <w:t xml:space="preserve"> 实施路径</w:t>
      </w:r>
    </w:p>
    <w:p>
      <w:pPr>
        <w:ind w:firstLine="562" w:firstLineChars="200"/>
        <w:rPr>
          <w:b/>
          <w:highlight w:val="none"/>
        </w:rPr>
      </w:pPr>
      <w:r>
        <w:rPr>
          <w:rFonts w:hint="eastAsia"/>
          <w:b/>
          <w:highlight w:val="none"/>
        </w:rPr>
        <w:t>阶段一（2018-</w:t>
      </w:r>
      <w:r>
        <w:rPr>
          <w:b/>
          <w:highlight w:val="none"/>
        </w:rPr>
        <w:t>2020</w:t>
      </w:r>
      <w:r>
        <w:rPr>
          <w:rFonts w:hint="eastAsia"/>
          <w:b/>
          <w:highlight w:val="none"/>
        </w:rPr>
        <w:t>）：搭建基础技术平台，承接东部产业转移</w:t>
      </w:r>
    </w:p>
    <w:p>
      <w:pPr>
        <w:ind w:firstLine="560" w:firstLineChars="200"/>
        <w:rPr>
          <w:highlight w:val="none"/>
        </w:rPr>
      </w:pPr>
      <w:r>
        <w:rPr>
          <w:rFonts w:hint="eastAsia"/>
          <w:highlight w:val="none"/>
        </w:rPr>
        <w:t>宜春市在数字文化娱乐产业方面的基础薄弱，产业发展初期应主要靠引入企业推动产业起步。产业发展初期，应积极与国内数字文化娱乐龙头企业进行接洽，将动漫、游戏、电竞类企业作为本阶段接洽重点，商讨合作意向，并根据洽谈情况，引入数字王国等一批国内知名动漫、游戏电竞企业及创新创业企业。企业引入后，支持企业充分</w:t>
      </w:r>
      <w:r>
        <w:rPr>
          <w:highlight w:val="none"/>
        </w:rPr>
        <w:t>利用</w:t>
      </w:r>
      <w:r>
        <w:rPr>
          <w:rFonts w:hint="eastAsia"/>
          <w:highlight w:val="none"/>
        </w:rPr>
        <w:t>本地数据中心资源，搭建动漫渲染平台、网游测试平台、电竞直播平台等基础技术平台，主要承接东部地区动漫、网游、电竞等产业链条中劳动密集环节，以动漫渲染、游戏开发测试（游戏陪玩）、游戏客服、电竞直播平台搭建及场地配套等为发展切入点推动产业起步。</w:t>
      </w:r>
    </w:p>
    <w:p>
      <w:pPr>
        <w:ind w:firstLine="560" w:firstLineChars="200"/>
        <w:rPr>
          <w:highlight w:val="none"/>
        </w:rPr>
      </w:pPr>
      <w:r>
        <w:rPr>
          <w:highlight w:val="none"/>
        </w:rPr>
        <w:t>此外</w:t>
      </w:r>
      <w:r>
        <w:rPr>
          <w:rFonts w:hint="eastAsia"/>
          <w:highlight w:val="none"/>
        </w:rPr>
        <w:t>，</w:t>
      </w:r>
      <w:r>
        <w:rPr>
          <w:highlight w:val="none"/>
        </w:rPr>
        <w:t>由于</w:t>
      </w:r>
      <w:r>
        <w:rPr>
          <w:rFonts w:hint="eastAsia"/>
          <w:highlight w:val="none"/>
        </w:rPr>
        <w:t>智慧</w:t>
      </w:r>
      <w:r>
        <w:rPr>
          <w:highlight w:val="none"/>
        </w:rPr>
        <w:t>小镇</w:t>
      </w:r>
      <w:r>
        <w:rPr>
          <w:rFonts w:hint="eastAsia"/>
          <w:highlight w:val="none"/>
        </w:rPr>
        <w:t>数字文化娱乐</w:t>
      </w:r>
      <w:r>
        <w:rPr>
          <w:highlight w:val="none"/>
        </w:rPr>
        <w:t>方面的人才较为欠缺</w:t>
      </w:r>
      <w:r>
        <w:rPr>
          <w:rFonts w:hint="eastAsia"/>
          <w:highlight w:val="none"/>
        </w:rPr>
        <w:t>，</w:t>
      </w:r>
      <w:r>
        <w:rPr>
          <w:highlight w:val="none"/>
        </w:rPr>
        <w:t>本阶段要做好</w:t>
      </w:r>
      <w:r>
        <w:rPr>
          <w:rFonts w:hint="eastAsia"/>
          <w:highlight w:val="none"/>
        </w:rPr>
        <w:t>与本地高校及职业院校的对接，鼓励本地高校及职业院校开设动漫、游戏电竞相关专业及课程。同时，做好入驻企业与本地院校的对接，推进入驻企业与本地院校开展合作，共同进行专业人才培养。最后，应积极与国内知名数字文化娱乐培训企业或机构进行接洽，商讨合作意向。</w:t>
      </w:r>
    </w:p>
    <w:p>
      <w:pPr>
        <w:ind w:firstLine="562" w:firstLineChars="200"/>
        <w:rPr>
          <w:b/>
          <w:highlight w:val="none"/>
        </w:rPr>
      </w:pPr>
      <w:r>
        <w:rPr>
          <w:rFonts w:hint="eastAsia"/>
          <w:b/>
          <w:highlight w:val="none"/>
        </w:rPr>
        <w:t>阶段二（2021-</w:t>
      </w:r>
      <w:r>
        <w:rPr>
          <w:b/>
          <w:highlight w:val="none"/>
        </w:rPr>
        <w:t>2025</w:t>
      </w:r>
      <w:r>
        <w:rPr>
          <w:rFonts w:hint="eastAsia"/>
          <w:b/>
          <w:highlight w:val="none"/>
        </w:rPr>
        <w:t>）：</w:t>
      </w:r>
      <w:r>
        <w:rPr>
          <w:b/>
          <w:highlight w:val="none"/>
        </w:rPr>
        <w:t>延伸</w:t>
      </w:r>
      <w:r>
        <w:rPr>
          <w:rFonts w:hint="eastAsia"/>
          <w:b/>
          <w:highlight w:val="none"/>
        </w:rPr>
        <w:t xml:space="preserve">产业链条，做大做强产业 </w:t>
      </w:r>
    </w:p>
    <w:p>
      <w:pPr>
        <w:ind w:firstLine="560" w:firstLineChars="200"/>
        <w:rPr>
          <w:highlight w:val="none"/>
        </w:rPr>
      </w:pPr>
      <w:r>
        <w:rPr>
          <w:rFonts w:hint="eastAsia"/>
          <w:highlight w:val="none"/>
        </w:rPr>
        <w:t>随着动漫、网游、电竞等数字文化娱乐产业的</w:t>
      </w:r>
      <w:r>
        <w:rPr>
          <w:highlight w:val="none"/>
        </w:rPr>
        <w:t>落地发展</w:t>
      </w:r>
      <w:r>
        <w:rPr>
          <w:rFonts w:hint="eastAsia"/>
          <w:highlight w:val="none"/>
        </w:rPr>
        <w:t>，本阶段一方面要加强对网络文学、网络视频、网络音乐、</w:t>
      </w:r>
      <w:r>
        <w:rPr>
          <w:highlight w:val="none"/>
        </w:rPr>
        <w:t>网络直播等知名企业的接洽及引进</w:t>
      </w:r>
      <w:r>
        <w:rPr>
          <w:rFonts w:hint="eastAsia"/>
          <w:highlight w:val="none"/>
        </w:rPr>
        <w:t>，并以智慧小镇为载体，推进数字文化娱乐企业集聚。</w:t>
      </w:r>
      <w:r>
        <w:rPr>
          <w:highlight w:val="none"/>
        </w:rPr>
        <w:t>另一方面</w:t>
      </w:r>
      <w:r>
        <w:rPr>
          <w:rFonts w:hint="eastAsia"/>
          <w:highlight w:val="none"/>
        </w:rPr>
        <w:t>逐步完善动漫、网游、电竞等已落地产业的产业链条，引进及培育一批动漫、网游、电竞领军企业，做大做强产业。其中动漫产业逐步从动漫渲染向动漫设计、动漫制作、动漫出版等产业环节延伸，形成成熟商业模式；网游产业逐步向产品研发运营环节延伸，支持企业依托智慧小镇资源以移动端游戏、VR游戏为重点发展方向，重点研发特色棋牌、角色扮演、休闲益智类游戏；电竞方面重点引入一批内容制作、赛事组织、教育培训等相关企业，以智慧小镇为载体，力争承办高规格电竞赛事。</w:t>
      </w:r>
    </w:p>
    <w:p>
      <w:pPr>
        <w:ind w:firstLine="560" w:firstLineChars="200"/>
        <w:rPr>
          <w:highlight w:val="none"/>
        </w:rPr>
      </w:pPr>
      <w:r>
        <w:rPr>
          <w:highlight w:val="none"/>
        </w:rPr>
        <w:t>此外</w:t>
      </w:r>
      <w:r>
        <w:rPr>
          <w:rFonts w:hint="eastAsia"/>
          <w:highlight w:val="none"/>
        </w:rPr>
        <w:t>，本阶段要推进智慧小镇数字文化娱乐培训产业的发展壮大，引进一批国内知名培训企业或机构，联合市内高校及职业院校建设数字文化娱乐人才培训基地，主要面向本地及赣西地区提供培训服务。</w:t>
      </w:r>
    </w:p>
    <w:p>
      <w:pPr>
        <w:ind w:firstLine="562" w:firstLineChars="200"/>
        <w:rPr>
          <w:b/>
          <w:highlight w:val="none"/>
        </w:rPr>
      </w:pPr>
      <w:r>
        <w:rPr>
          <w:rFonts w:hint="eastAsia"/>
          <w:b/>
          <w:highlight w:val="none"/>
        </w:rPr>
        <w:t>阶段三（</w:t>
      </w:r>
      <w:r>
        <w:rPr>
          <w:b/>
          <w:highlight w:val="none"/>
        </w:rPr>
        <w:t>2026-2030</w:t>
      </w:r>
      <w:r>
        <w:rPr>
          <w:rFonts w:hint="eastAsia"/>
          <w:b/>
          <w:highlight w:val="none"/>
        </w:rPr>
        <w:t>）：鼓励融合创新，打造特色品牌</w:t>
      </w:r>
    </w:p>
    <w:p>
      <w:pPr>
        <w:ind w:firstLine="560" w:firstLineChars="200"/>
        <w:rPr>
          <w:highlight w:val="none"/>
        </w:rPr>
      </w:pPr>
      <w:r>
        <w:rPr>
          <w:rFonts w:hint="eastAsia"/>
          <w:highlight w:val="none"/>
        </w:rPr>
        <w:t>本阶段重点鼓励智慧小镇入驻企业挖掘本地文化底蕴，开发“本地文化+</w:t>
      </w:r>
      <w:r>
        <w:rPr>
          <w:highlight w:val="none"/>
        </w:rPr>
        <w:t>数字文化娱乐</w:t>
      </w:r>
      <w:r>
        <w:rPr>
          <w:rFonts w:hint="eastAsia"/>
          <w:highlight w:val="none"/>
        </w:rPr>
        <w:t>”高价值IP产品，推进企业进行跨界合作，推出宜春特色数字文化娱乐品牌。此外，加强与阿里旅游、腾讯视频等互联网企业的合作，借助其渠道和流量优势，进行数字文化娱乐产品的销售、传播和品牌推广。鼓励企业重点发展面向数字文化娱乐应用的大数据用户行为分析服务和用户流失分析服务等，整合多屏终端消费行为数据，利用大数据精准分析品牌文化底蕴、大众消费需求、用户口碑和支付能力，为</w:t>
      </w:r>
      <w:r>
        <w:rPr>
          <w:highlight w:val="none"/>
        </w:rPr>
        <w:t>数字文化</w:t>
      </w:r>
      <w:r>
        <w:rPr>
          <w:rFonts w:hint="eastAsia"/>
          <w:highlight w:val="none"/>
        </w:rPr>
        <w:t>娱乐市场洞察、用户管理和营销发行等提供策略支持和辅助运营。</w:t>
      </w:r>
    </w:p>
    <w:p>
      <w:pPr>
        <w:ind w:firstLine="560" w:firstLineChars="200"/>
        <w:rPr>
          <w:highlight w:val="none"/>
        </w:rPr>
      </w:pPr>
      <w:r>
        <w:rPr>
          <w:rFonts w:hint="eastAsia"/>
          <w:highlight w:val="none"/>
        </w:rPr>
        <w:t>此外，本阶段要大力推进数字文化娱乐培训产业的持续发展，壮大培训基地规模，力争成为全省数字文化娱乐人才培训高地。</w:t>
      </w:r>
    </w:p>
    <w:p>
      <w:pPr>
        <w:pStyle w:val="5"/>
        <w:spacing w:line="377" w:lineRule="auto"/>
        <w:rPr>
          <w:rFonts w:ascii="黑体" w:hAnsi="黑体" w:eastAsia="黑体"/>
          <w:highlight w:val="none"/>
        </w:rPr>
      </w:pPr>
      <w:bookmarkStart w:id="399" w:name="_Toc528843200"/>
      <w:r>
        <w:rPr>
          <w:rFonts w:hint="eastAsia" w:ascii="黑体" w:hAnsi="黑体" w:eastAsia="黑体"/>
          <w:highlight w:val="none"/>
        </w:rPr>
        <w:t>4.2发展工业互联网，提升工业智能化水平</w:t>
      </w:r>
      <w:bookmarkEnd w:id="399"/>
    </w:p>
    <w:p>
      <w:pPr>
        <w:pStyle w:val="6"/>
        <w:rPr>
          <w:highlight w:val="none"/>
        </w:rPr>
      </w:pPr>
      <w:r>
        <w:rPr>
          <w:rFonts w:hint="eastAsia"/>
          <w:highlight w:val="none"/>
        </w:rPr>
        <w:t>4.2.1</w:t>
      </w:r>
      <w:r>
        <w:rPr>
          <w:highlight w:val="none"/>
        </w:rPr>
        <w:t xml:space="preserve"> </w:t>
      </w:r>
      <w:r>
        <w:rPr>
          <w:rFonts w:hint="eastAsia"/>
          <w:highlight w:val="none"/>
        </w:rPr>
        <w:t>基础现状</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宜春市两化融合示范取得一定成效。</w:t>
      </w:r>
      <w:r>
        <w:rPr>
          <w:rFonts w:hint="eastAsia" w:ascii="Times New Roman" w:hAnsi="Times New Roman" w:cs="Times New Roman"/>
          <w:highlight w:val="none"/>
        </w:rPr>
        <w:t>宜春市两化融合深度示范取得了一定成效，2017年宜春市有7家企业成为省级两化深度融合示范企业，累计达到28户示范企业，示范企业数位全省前列。港丝利正在投资建设智能工厂和数字化车间，引进了柔性智能生产线，智能化改造稳步推进。科伦投资建设了数字化车间，实现生产数据的集中监控。高安的</w:t>
      </w:r>
      <w:bookmarkStart w:id="400" w:name="_Hlk515009891"/>
      <w:r>
        <w:rPr>
          <w:rFonts w:hint="eastAsia" w:ascii="Times New Roman" w:hAnsi="Times New Roman" w:cs="Times New Roman"/>
          <w:highlight w:val="none"/>
        </w:rPr>
        <w:t>奥其斯</w:t>
      </w:r>
      <w:bookmarkEnd w:id="400"/>
      <w:r>
        <w:rPr>
          <w:rFonts w:hint="eastAsia" w:ascii="Times New Roman" w:hAnsi="Times New Roman" w:cs="Times New Roman"/>
          <w:highlight w:val="none"/>
        </w:rPr>
        <w:t>、天孚光电、鼎峰电子均已获得江西省两化深度融合示范企业称号。</w:t>
      </w:r>
    </w:p>
    <w:p>
      <w:pPr>
        <w:ind w:firstLine="562" w:firstLineChars="200"/>
        <w:rPr>
          <w:highlight w:val="none"/>
        </w:rPr>
      </w:pPr>
      <w:r>
        <w:rPr>
          <w:rFonts w:hint="eastAsia" w:ascii="Times New Roman" w:hAnsi="Times New Roman" w:cs="Times New Roman"/>
          <w:b/>
          <w:highlight w:val="none"/>
        </w:rPr>
        <w:t>部分骨干工业企业信息化进入集成应用阶段。</w:t>
      </w:r>
      <w:r>
        <w:rPr>
          <w:rFonts w:hint="eastAsia" w:ascii="Times New Roman" w:hAnsi="Times New Roman" w:cs="Times New Roman"/>
          <w:highlight w:val="none"/>
        </w:rPr>
        <w:t>据两化融合服务联盟统计，我国</w:t>
      </w:r>
      <w:r>
        <w:rPr>
          <w:rFonts w:ascii="Times New Roman" w:hAnsi="Times New Roman" w:cs="Times New Roman"/>
          <w:highlight w:val="none"/>
        </w:rPr>
        <w:t>33%</w:t>
      </w:r>
      <w:r>
        <w:rPr>
          <w:rFonts w:hint="eastAsia" w:ascii="Times New Roman" w:hAnsi="Times New Roman" w:cs="Times New Roman"/>
          <w:highlight w:val="none"/>
        </w:rPr>
        <w:t>的工业企业信息化处于起步阶段，</w:t>
      </w:r>
      <w:r>
        <w:rPr>
          <w:rFonts w:ascii="Times New Roman" w:hAnsi="Times New Roman" w:cs="Times New Roman"/>
          <w:highlight w:val="none"/>
        </w:rPr>
        <w:t>47.7%</w:t>
      </w:r>
      <w:r>
        <w:rPr>
          <w:rFonts w:hint="eastAsia" w:ascii="Times New Roman" w:hAnsi="Times New Roman" w:cs="Times New Roman"/>
          <w:highlight w:val="none"/>
        </w:rPr>
        <w:t>的工业企业信息化处于单项覆盖阶段，</w:t>
      </w:r>
      <w:r>
        <w:rPr>
          <w:rFonts w:ascii="Times New Roman" w:hAnsi="Times New Roman" w:cs="Times New Roman"/>
          <w:highlight w:val="none"/>
        </w:rPr>
        <w:t>15.2%</w:t>
      </w:r>
      <w:r>
        <w:rPr>
          <w:rFonts w:hint="eastAsia" w:ascii="Times New Roman" w:hAnsi="Times New Roman" w:cs="Times New Roman"/>
          <w:highlight w:val="none"/>
        </w:rPr>
        <w:t>的工业企业信息化处于集成提升阶段，只有</w:t>
      </w:r>
      <w:r>
        <w:rPr>
          <w:rFonts w:ascii="Times New Roman" w:hAnsi="Times New Roman" w:cs="Times New Roman"/>
          <w:highlight w:val="none"/>
        </w:rPr>
        <w:t>4.1%</w:t>
      </w:r>
      <w:r>
        <w:rPr>
          <w:rFonts w:hint="eastAsia" w:ascii="Times New Roman" w:hAnsi="Times New Roman" w:cs="Times New Roman"/>
          <w:highlight w:val="none"/>
        </w:rPr>
        <w:t>的工业企业信息化达到创新突破阶段。宜春百神药业实现了智能检测仪表、可编程控制器、分布式控制系统、生产制造执行系统、数据采集与监控系统、企业资源管理等系统的集成应用。铜鼓的普美欣</w:t>
      </w:r>
      <w:r>
        <w:rPr>
          <w:rFonts w:ascii="Times New Roman" w:hAnsi="Times New Roman" w:cs="Times New Roman"/>
          <w:highlight w:val="none"/>
        </w:rPr>
        <w:t>集成了</w:t>
      </w:r>
      <w:r>
        <w:rPr>
          <w:rFonts w:hint="eastAsia" w:ascii="Times New Roman" w:hAnsi="Times New Roman" w:cs="Times New Roman"/>
          <w:highlight w:val="none"/>
        </w:rPr>
        <w:t>生产控制、资源管理、财务管理和采购管理等信息化系统，</w:t>
      </w:r>
      <w:r>
        <w:rPr>
          <w:rFonts w:ascii="Times New Roman" w:hAnsi="Times New Roman" w:cs="Times New Roman"/>
          <w:highlight w:val="none"/>
        </w:rPr>
        <w:t>实现了从“</w:t>
      </w:r>
      <w:r>
        <w:rPr>
          <w:rFonts w:hint="eastAsia" w:ascii="Times New Roman" w:hAnsi="Times New Roman" w:cs="Times New Roman"/>
          <w:highlight w:val="none"/>
        </w:rPr>
        <w:t>客户下单</w:t>
      </w:r>
      <w:r>
        <w:rPr>
          <w:rFonts w:ascii="Times New Roman" w:hAnsi="Times New Roman" w:cs="Times New Roman"/>
          <w:highlight w:val="none"/>
        </w:rPr>
        <w:t>、配料</w:t>
      </w:r>
      <w:r>
        <w:rPr>
          <w:rFonts w:hint="eastAsia" w:ascii="Times New Roman" w:hAnsi="Times New Roman" w:cs="Times New Roman"/>
          <w:highlight w:val="none"/>
        </w:rPr>
        <w:t>师</w:t>
      </w:r>
      <w:r>
        <w:rPr>
          <w:rFonts w:ascii="Times New Roman" w:hAnsi="Times New Roman" w:cs="Times New Roman"/>
          <w:highlight w:val="none"/>
        </w:rPr>
        <w:t>配料、原材料采购和入库、生产原材料投放及生产、品质监控及产品出库”的</w:t>
      </w:r>
      <w:r>
        <w:rPr>
          <w:rFonts w:hint="eastAsia" w:ascii="Times New Roman" w:hAnsi="Times New Roman" w:cs="Times New Roman"/>
          <w:highlight w:val="none"/>
        </w:rPr>
        <w:t>全程化网络系统</w:t>
      </w:r>
      <w:r>
        <w:rPr>
          <w:rFonts w:ascii="Times New Roman" w:hAnsi="Times New Roman" w:cs="Times New Roman"/>
          <w:highlight w:val="none"/>
        </w:rPr>
        <w:t>自动化控制</w:t>
      </w:r>
      <w:r>
        <w:rPr>
          <w:rFonts w:hint="eastAsia" w:ascii="Times New Roman" w:hAnsi="Times New Roman" w:cs="Times New Roman"/>
          <w:highlight w:val="none"/>
        </w:rPr>
        <w:t>。</w:t>
      </w:r>
    </w:p>
    <w:p>
      <w:pPr>
        <w:pStyle w:val="6"/>
        <w:rPr>
          <w:highlight w:val="none"/>
        </w:rPr>
      </w:pPr>
      <w:r>
        <w:rPr>
          <w:rFonts w:hint="eastAsia"/>
          <w:highlight w:val="none"/>
        </w:rPr>
        <w:t>4.2.2</w:t>
      </w:r>
      <w:r>
        <w:rPr>
          <w:highlight w:val="none"/>
        </w:rPr>
        <w:t xml:space="preserve"> </w:t>
      </w:r>
      <w:r>
        <w:rPr>
          <w:rFonts w:hint="eastAsia"/>
          <w:highlight w:val="none"/>
        </w:rPr>
        <w:t>发展趋势</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我国制造业智能化发展取得新进展。</w:t>
      </w:r>
      <w:r>
        <w:rPr>
          <w:rFonts w:hint="eastAsia" w:ascii="Times New Roman" w:hAnsi="Times New Roman" w:cs="Times New Roman"/>
          <w:highlight w:val="none"/>
        </w:rPr>
        <w:t>据两化融合服务联盟测算，截止到2018年5月，我国企业两化融合发展水平得分51.8分，数字化研发设计工具普及率63.2%，关键工序数控化率（加权平均）46.4%，企业互联网化指数30.2，智能制造就绪率5.6%，生产设备智能化改造加快，综合集成水平持续提高，一批企业初步具备探索智能制造的条件。信息技术逐步融入重大装备和产品，智能机器人、增材制造、智能家电、智能汽车、可穿戴智能产品、移动智能终端等产业快速发展。</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基于互联网的制造新模式、新业态不断涌现。</w:t>
      </w:r>
      <w:r>
        <w:rPr>
          <w:rFonts w:hint="eastAsia" w:ascii="Times New Roman" w:hAnsi="Times New Roman" w:cs="Times New Roman"/>
          <w:highlight w:val="none"/>
        </w:rPr>
        <w:t>信息技术在研发、生产、经营、管理等环节的渗透不断加深。制造企业在精益管理、风险管控、供应链协同、市场快速响应等方面的竞争优势不断扩大。大规模个性化定制、网络化协同制造和服务型制造等新模式不断涌现，工业云、工业大数据、工业互联网、工业电子商务等新业态层出不穷。</w:t>
      </w:r>
    </w:p>
    <w:p>
      <w:pPr>
        <w:ind w:firstLine="562" w:firstLineChars="200"/>
        <w:rPr>
          <w:highlight w:val="none"/>
        </w:rPr>
      </w:pPr>
      <w:r>
        <w:rPr>
          <w:rFonts w:hint="eastAsia" w:ascii="Times New Roman" w:hAnsi="Times New Roman" w:cs="Times New Roman"/>
          <w:b/>
          <w:highlight w:val="none"/>
        </w:rPr>
        <w:t>工业互联网成为推动制造业融合发展的重要抓手。</w:t>
      </w:r>
      <w:r>
        <w:rPr>
          <w:rFonts w:hint="eastAsia" w:ascii="Times New Roman" w:hAnsi="Times New Roman" w:cs="Times New Roman"/>
          <w:highlight w:val="none"/>
        </w:rPr>
        <w:t>工业互联网是互联网与新一代信息技术与工业系统全方位深度融合所形成的产业和应用生态，是工业智能化发展的关键综合信息基础设施。《国务院关于深化制造业与互联网融合发展的指导意见》、《“十三五”国家信息化规划》均提出加快构建自动控制与感知技术、工业软硬件、工业云与智能服务平台、工业互联网等制造业新基础。</w:t>
      </w:r>
      <w:r>
        <w:rPr>
          <w:rFonts w:hint="eastAsia"/>
          <w:highlight w:val="none"/>
        </w:rPr>
        <w:t>基于工业互联网的制造生态正成为产业竞争的“风口”，发展机遇稍纵即逝，需要尽早部署。</w:t>
      </w:r>
    </w:p>
    <w:p>
      <w:pPr>
        <w:pStyle w:val="6"/>
        <w:rPr>
          <w:highlight w:val="none"/>
        </w:rPr>
      </w:pPr>
      <w:r>
        <w:rPr>
          <w:rFonts w:hint="eastAsia"/>
          <w:highlight w:val="none"/>
        </w:rPr>
        <w:t>4.2.3</w:t>
      </w:r>
      <w:r>
        <w:rPr>
          <w:highlight w:val="none"/>
        </w:rPr>
        <w:t xml:space="preserve"> </w:t>
      </w:r>
      <w:r>
        <w:rPr>
          <w:rFonts w:hint="eastAsia"/>
          <w:highlight w:val="none"/>
        </w:rPr>
        <w:t>目标定位</w:t>
      </w:r>
    </w:p>
    <w:p>
      <w:pPr>
        <w:ind w:firstLine="560" w:firstLineChars="200"/>
        <w:rPr>
          <w:highlight w:val="none"/>
        </w:rPr>
      </w:pPr>
      <w:r>
        <w:rPr>
          <w:rFonts w:hint="eastAsia"/>
          <w:highlight w:val="none"/>
        </w:rPr>
        <w:t>智慧小镇发展工业互联网以工业互联网标识解析行业节点建设为突破口，建设工业互联网标识解析体系，力争到2020年将智慧小镇打造为江西省工业互联网标识解析先行区。着力联合科研机构、各园区工业企业、产业联盟和信息通信技术服务企业等开展工业互联网平台建设，助力宜春工业企业数字化、网络化和智能化改造，力争到2025年宜春工业企业上云比例达到70%，工业互联网产业发展环境日益完善。依托工业互联网平台，着力发展工业大数据典型应用，推进工业互联网及工业大数据产业化，力争到2030年，引进培育20家以上的国内外知名工业互联网企业，智慧小镇工业互联网企业年营业收入突破50亿元，从业人员超过5000人，技术专利数量在江西省处于领先地位。</w:t>
      </w:r>
    </w:p>
    <w:p>
      <w:pPr>
        <w:pStyle w:val="6"/>
        <w:rPr>
          <w:highlight w:val="none"/>
        </w:rPr>
      </w:pPr>
      <w:r>
        <w:rPr>
          <w:rFonts w:hint="eastAsia"/>
          <w:highlight w:val="none"/>
        </w:rPr>
        <w:t>4.2.4 实施路径</w:t>
      </w:r>
    </w:p>
    <w:p>
      <w:pPr>
        <w:ind w:firstLine="560" w:firstLineChars="200"/>
        <w:rPr>
          <w:highlight w:val="none"/>
        </w:rPr>
      </w:pPr>
      <w:r>
        <w:rPr>
          <w:rFonts w:hint="eastAsia"/>
          <w:highlight w:val="none"/>
        </w:rPr>
        <w:t>发展工业互联网按照“网络—平台—应用—产业”的发展路径进行推进，同时从培养人才和打造交流平台两点突破，优化宜春工业互联网发展环境。</w:t>
      </w:r>
    </w:p>
    <w:p>
      <w:pPr>
        <w:ind w:firstLine="560" w:firstLineChars="200"/>
        <w:rPr>
          <w:highlight w:val="none"/>
        </w:rPr>
      </w:pPr>
      <w:r>
        <w:rPr>
          <w:rFonts w:hint="eastAsia"/>
          <w:highlight w:val="none"/>
        </w:rPr>
        <w:t>2018-2020年：</w:t>
      </w:r>
    </w:p>
    <w:p>
      <w:pPr>
        <w:ind w:firstLine="562" w:firstLineChars="200"/>
        <w:rPr>
          <w:highlight w:val="none"/>
        </w:rPr>
      </w:pPr>
      <w:r>
        <w:rPr>
          <w:rFonts w:hint="eastAsia"/>
          <w:b/>
          <w:highlight w:val="none"/>
        </w:rPr>
        <w:t>建设工业互联网标识解析行业节点，完善工业互联网网络基础设施</w:t>
      </w:r>
      <w:r>
        <w:rPr>
          <w:rFonts w:hint="eastAsia"/>
          <w:highlight w:val="none"/>
        </w:rPr>
        <w:t>。联合标识解析机构部署工业互联网标识解析行业节点，面向中医药、绿色有机食品、动力电池和烟花爆竹企业和公众提供标识注册、标识解析服务，探索建立工业互联网标识解析体系。以工业互联网标识解析行业节点为依托，推动中医药、绿色有机食品、动力电池和烟花爆竹的重点行业企业与ICT企业联合开展产品追溯、供应链管理、产品全生命周期管理和智能生产等工业互联网创新应用。逐步引进和培育标识解析机构、标识设备研发企业、信息技术与信息技术服务企业，打造工业互联网标识解析产业生态。</w:t>
      </w:r>
    </w:p>
    <w:p>
      <w:pPr>
        <w:ind w:firstLine="560" w:firstLineChars="200"/>
        <w:rPr>
          <w:highlight w:val="none"/>
        </w:rPr>
      </w:pPr>
      <w:r>
        <w:rPr>
          <w:rFonts w:hint="eastAsia"/>
          <w:highlight w:val="none"/>
        </w:rPr>
        <w:t>协同工业互联网研究机构、高校、制造企业</w:t>
      </w:r>
      <w:r>
        <w:rPr>
          <w:rFonts w:hint="eastAsia"/>
          <w:b/>
          <w:highlight w:val="none"/>
        </w:rPr>
        <w:t>建设工业互联网联合实验室</w:t>
      </w:r>
      <w:r>
        <w:rPr>
          <w:rFonts w:hint="eastAsia"/>
          <w:highlight w:val="none"/>
        </w:rPr>
        <w:t>。围绕共性技术研发搭建国内领先的研究和试验验证环境、生产模拟环境，重点围绕工业互联网平台、工业智能、工业安全等工业互联网核心技术开展研究、试验和评估。</w:t>
      </w:r>
    </w:p>
    <w:p>
      <w:pPr>
        <w:ind w:firstLine="562" w:firstLineChars="200"/>
        <w:rPr>
          <w:b/>
          <w:highlight w:val="none"/>
        </w:rPr>
      </w:pPr>
      <w:r>
        <w:rPr>
          <w:rFonts w:hint="eastAsia"/>
          <w:b/>
          <w:highlight w:val="none"/>
        </w:rPr>
        <w:t>2021-2025年：</w:t>
      </w:r>
    </w:p>
    <w:p>
      <w:pPr>
        <w:ind w:firstLine="560" w:firstLineChars="200"/>
        <w:rPr>
          <w:highlight w:val="none"/>
        </w:rPr>
      </w:pPr>
      <w:r>
        <w:rPr>
          <w:rFonts w:hint="eastAsia"/>
          <w:highlight w:val="none"/>
        </w:rPr>
        <w:t>积极联合工业企业、科研机构、高等院校和职业院校等多方力量</w:t>
      </w:r>
      <w:r>
        <w:rPr>
          <w:rFonts w:hint="eastAsia"/>
          <w:b/>
          <w:highlight w:val="none"/>
        </w:rPr>
        <w:t>建设智能制造和工业互联网人才培养基地</w:t>
      </w:r>
      <w:r>
        <w:rPr>
          <w:rFonts w:hint="eastAsia"/>
          <w:highlight w:val="none"/>
        </w:rPr>
        <w:t>，开展自动控制应用技术、机器人技术与应用、物联网及云计算、制造执行及信息系统、A</w:t>
      </w:r>
      <w:r>
        <w:rPr>
          <w:highlight w:val="none"/>
        </w:rPr>
        <w:t>R</w:t>
      </w:r>
      <w:r>
        <w:rPr>
          <w:rFonts w:hint="eastAsia"/>
          <w:highlight w:val="none"/>
        </w:rPr>
        <w:t>/VR技术及应用、仿真技术应用和3</w:t>
      </w:r>
      <w:r>
        <w:rPr>
          <w:highlight w:val="none"/>
        </w:rPr>
        <w:t>D</w:t>
      </w:r>
      <w:r>
        <w:rPr>
          <w:rFonts w:hint="eastAsia"/>
          <w:highlight w:val="none"/>
        </w:rPr>
        <w:t>打印技术应用等方面的培训和实训，为智能制造和工业互联网发展培养实施人才。</w:t>
      </w:r>
    </w:p>
    <w:p>
      <w:pPr>
        <w:ind w:firstLine="562" w:firstLineChars="200"/>
        <w:rPr>
          <w:b/>
          <w:highlight w:val="none"/>
        </w:rPr>
      </w:pPr>
      <w:r>
        <w:rPr>
          <w:rFonts w:hint="eastAsia"/>
          <w:b/>
          <w:highlight w:val="none"/>
        </w:rPr>
        <w:t>建设工业互联网创新体验中心。</w:t>
      </w:r>
      <w:r>
        <w:rPr>
          <w:rFonts w:hint="eastAsia"/>
          <w:highlight w:val="none"/>
        </w:rPr>
        <w:t>搭建公共展示环境，邀请工业互联网产业联盟的测试床、优秀应用案例等项目入驻，展示宜春市工业互联网相关试点示范项目和典型案例，通过一系列互动体验让受众体验工业互联网在智能化生产、网络化协同、工业智能、个性化定制和服务化转型的应用成效，更深入了解先进网络、工业大数据、信息物理系统等工业互联网新兴技术的应用效果，以实景展示面向制造业转型升级的工业互联网解决方案。</w:t>
      </w:r>
    </w:p>
    <w:p>
      <w:pPr>
        <w:ind w:firstLine="560" w:firstLineChars="200"/>
        <w:rPr>
          <w:highlight w:val="none"/>
        </w:rPr>
      </w:pPr>
      <w:r>
        <w:rPr>
          <w:rFonts w:hint="eastAsia"/>
          <w:highlight w:val="none"/>
        </w:rPr>
        <w:t>着力推动工业互联网平台企业落户宜春，</w:t>
      </w:r>
      <w:r>
        <w:rPr>
          <w:rFonts w:hint="eastAsia"/>
          <w:b/>
          <w:highlight w:val="none"/>
        </w:rPr>
        <w:t>建设工业互联网市级平台</w:t>
      </w:r>
      <w:r>
        <w:rPr>
          <w:rFonts w:hint="eastAsia"/>
          <w:highlight w:val="none"/>
        </w:rPr>
        <w:t>。积极与已经获得工业互联网产业联盟可信服务评估认证的工业互联网平台企业接洽，推动工业互联网市级平台建设，</w:t>
      </w:r>
      <w:bookmarkStart w:id="401" w:name="_Hlk516162534"/>
      <w:r>
        <w:rPr>
          <w:rFonts w:hint="eastAsia"/>
          <w:highlight w:val="none"/>
        </w:rPr>
        <w:t>助力宜春工业企业数字化、网络化、智能化改造</w:t>
      </w:r>
      <w:bookmarkEnd w:id="401"/>
      <w:r>
        <w:rPr>
          <w:rFonts w:hint="eastAsia"/>
          <w:highlight w:val="none"/>
        </w:rPr>
        <w:t>，推动宜春工业企业信息基础设施与业务应用系统“上云上平台”。</w:t>
      </w:r>
    </w:p>
    <w:p>
      <w:pPr>
        <w:ind w:firstLine="560" w:firstLineChars="200"/>
        <w:rPr>
          <w:highlight w:val="none"/>
        </w:rPr>
      </w:pPr>
      <w:r>
        <w:rPr>
          <w:rFonts w:hint="eastAsia"/>
          <w:highlight w:val="none"/>
        </w:rPr>
        <w:t>联合工业互联网产业联盟，</w:t>
      </w:r>
      <w:r>
        <w:rPr>
          <w:rFonts w:hint="eastAsia"/>
          <w:b/>
          <w:highlight w:val="none"/>
        </w:rPr>
        <w:t>组织召开工业互联网峰会和工业互联网论坛</w:t>
      </w:r>
      <w:r>
        <w:rPr>
          <w:rFonts w:hint="eastAsia"/>
          <w:highlight w:val="none"/>
        </w:rPr>
        <w:t>，搭建产学研交流合作平台，提高本地工业企业对工业互联网、工业大数据等的认识，促进本地传统工业企业转型升级，紧跟工业互联网发展，营造良好的产业发展环境。定期组织产学研交流活动，持续扩大宜春工业互联网产学研交流平台在宜春及赣西地区工业企业中的影</w:t>
      </w:r>
      <w:bookmarkStart w:id="402" w:name="_Hlk516162779"/>
      <w:r>
        <w:rPr>
          <w:rFonts w:hint="eastAsia"/>
          <w:highlight w:val="none"/>
        </w:rPr>
        <w:t>响力。</w:t>
      </w:r>
    </w:p>
    <w:p>
      <w:pPr>
        <w:ind w:firstLine="562" w:firstLineChars="200"/>
        <w:rPr>
          <w:b/>
          <w:highlight w:val="none"/>
        </w:rPr>
      </w:pPr>
      <w:r>
        <w:rPr>
          <w:rFonts w:hint="eastAsia"/>
          <w:b/>
          <w:highlight w:val="none"/>
        </w:rPr>
        <w:t>2026-2030年：</w:t>
      </w:r>
    </w:p>
    <w:p>
      <w:pPr>
        <w:ind w:firstLine="560" w:firstLineChars="200"/>
        <w:rPr>
          <w:highlight w:val="none"/>
        </w:rPr>
      </w:pPr>
      <w:r>
        <w:rPr>
          <w:rFonts w:hint="eastAsia"/>
          <w:highlight w:val="none"/>
        </w:rPr>
        <w:t>依托工业互联网平台，</w:t>
      </w:r>
      <w:r>
        <w:rPr>
          <w:rFonts w:hint="eastAsia"/>
          <w:b/>
          <w:highlight w:val="none"/>
        </w:rPr>
        <w:t>着力发展工业大数据典型应用</w:t>
      </w:r>
      <w:bookmarkEnd w:id="402"/>
      <w:r>
        <w:rPr>
          <w:rFonts w:hint="eastAsia"/>
          <w:highlight w:val="none"/>
        </w:rPr>
        <w:t>，</w:t>
      </w:r>
      <w:r>
        <w:rPr>
          <w:rFonts w:hint="eastAsia"/>
          <w:b/>
          <w:highlight w:val="none"/>
        </w:rPr>
        <w:t>推进工业互联网及工业大数据产业化</w:t>
      </w:r>
      <w:r>
        <w:rPr>
          <w:rFonts w:hint="eastAsia"/>
          <w:highlight w:val="none"/>
        </w:rPr>
        <w:t>。依托工业互联网企业和工业互联网平台开展工业大数据应用研发创新，围绕中医药、锂电新能源和建材等优势产业，打造虚拟设计与虚拟制造、生产工艺与流程优化、设备预测性维护、智能生产排程、产品质量优化、协同研发与制造、供应链配送体系优化和用户需求挖掘等工业大数据应用，推进制造业服务化转型，推动工业互联网及工业大数据产业化。</w:t>
      </w:r>
    </w:p>
    <w:p>
      <w:pPr>
        <w:ind w:firstLine="562" w:firstLineChars="200"/>
        <w:rPr>
          <w:highlight w:val="none"/>
        </w:rPr>
      </w:pPr>
      <w:r>
        <w:rPr>
          <w:rFonts w:hint="eastAsia"/>
          <w:b/>
          <w:highlight w:val="none"/>
        </w:rPr>
        <w:t>实施智能制造和工业互联网人才培养工程</w:t>
      </w:r>
      <w:r>
        <w:rPr>
          <w:rFonts w:hint="eastAsia"/>
          <w:highlight w:val="none"/>
        </w:rPr>
        <w:t>，依托智能制造和工业互联网人才培养基地，持续培养智能制造、工业互联网、工业大数据相关人才，促进宜春工业企业智能化改造和提升。</w:t>
      </w:r>
    </w:p>
    <w:p>
      <w:pPr>
        <w:ind w:firstLine="562" w:firstLineChars="200"/>
        <w:rPr>
          <w:highlight w:val="none"/>
        </w:rPr>
      </w:pPr>
      <w:r>
        <w:rPr>
          <w:rFonts w:hint="eastAsia"/>
          <w:b/>
          <w:highlight w:val="none"/>
        </w:rPr>
        <w:t>开展工业互联网产学研交流平台影响力提升工程</w:t>
      </w:r>
      <w:r>
        <w:rPr>
          <w:rFonts w:hint="eastAsia"/>
          <w:highlight w:val="none"/>
        </w:rPr>
        <w:t>，定期组织产学研交流活动，逐步扩大宜春工业互联网产学研交流平台的影响力。</w:t>
      </w:r>
    </w:p>
    <w:p>
      <w:pPr>
        <w:pStyle w:val="4"/>
        <w:rPr>
          <w:highlight w:val="none"/>
        </w:rPr>
      </w:pPr>
      <w:bookmarkStart w:id="403" w:name="_Toc528843201"/>
      <w:r>
        <w:rPr>
          <w:rFonts w:hint="eastAsia"/>
          <w:highlight w:val="none"/>
        </w:rPr>
        <w:t>（五）打造应用研发基地，实现智能发展</w:t>
      </w:r>
      <w:bookmarkEnd w:id="403"/>
    </w:p>
    <w:p>
      <w:pPr>
        <w:ind w:firstLine="560" w:firstLineChars="200"/>
        <w:rPr>
          <w:highlight w:val="none"/>
        </w:rPr>
      </w:pPr>
      <w:r>
        <w:rPr>
          <w:rFonts w:hint="eastAsia"/>
          <w:highlight w:val="none"/>
        </w:rPr>
        <w:t>建设应用研发基地，聚焦人工智能和区块链等未来产业，以智能网联汽车、智能服务机器人、区块链溯源应用研究为突破重点，引进培育轻资产、总部型、平台型企业，与本地锂电新能源、绿色有机农产品、中医药等特色产业紧密集合，与经开区、袁州区协同发展，通过“研发—孵化—产业化”发展路径，实现智能产品走出江西，走向全国。</w:t>
      </w:r>
    </w:p>
    <w:p>
      <w:pPr>
        <w:pStyle w:val="5"/>
        <w:spacing w:line="377" w:lineRule="auto"/>
        <w:rPr>
          <w:rFonts w:ascii="黑体" w:hAnsi="黑体" w:eastAsia="黑体"/>
          <w:highlight w:val="none"/>
        </w:rPr>
      </w:pPr>
      <w:bookmarkStart w:id="404" w:name="_Toc528843202"/>
      <w:r>
        <w:rPr>
          <w:rFonts w:hint="eastAsia" w:ascii="黑体" w:hAnsi="黑体" w:eastAsia="黑体"/>
          <w:highlight w:val="none"/>
        </w:rPr>
        <w:t>5</w:t>
      </w:r>
      <w:r>
        <w:rPr>
          <w:rFonts w:ascii="黑体" w:hAnsi="黑体" w:eastAsia="黑体"/>
          <w:highlight w:val="none"/>
        </w:rPr>
        <w:t>.</w:t>
      </w:r>
      <w:r>
        <w:rPr>
          <w:rFonts w:hint="eastAsia" w:ascii="黑体" w:hAnsi="黑体" w:eastAsia="黑体"/>
          <w:highlight w:val="none"/>
        </w:rPr>
        <w:t>1发展人工智能，培育未来产业助力动能转换</w:t>
      </w:r>
      <w:bookmarkEnd w:id="404"/>
    </w:p>
    <w:p>
      <w:pPr>
        <w:pStyle w:val="6"/>
        <w:rPr>
          <w:highlight w:val="none"/>
        </w:rPr>
      </w:pPr>
      <w:r>
        <w:rPr>
          <w:rFonts w:hint="eastAsia"/>
          <w:highlight w:val="none"/>
        </w:rPr>
        <w:t>5.1.1</w:t>
      </w:r>
      <w:r>
        <w:rPr>
          <w:highlight w:val="none"/>
        </w:rPr>
        <w:t xml:space="preserve"> </w:t>
      </w:r>
      <w:r>
        <w:rPr>
          <w:rFonts w:hint="eastAsia"/>
          <w:highlight w:val="none"/>
        </w:rPr>
        <w:t>基础现状</w:t>
      </w:r>
    </w:p>
    <w:p>
      <w:pPr>
        <w:ind w:firstLine="562" w:firstLineChars="200"/>
        <w:rPr>
          <w:highlight w:val="none"/>
        </w:rPr>
      </w:pPr>
      <w:r>
        <w:rPr>
          <w:rFonts w:hint="eastAsia"/>
          <w:b/>
          <w:highlight w:val="none"/>
        </w:rPr>
        <w:t>宜春市人工智能产业基础整体比较薄弱，锂电新能源是本地特色产业。</w:t>
      </w:r>
      <w:r>
        <w:rPr>
          <w:rFonts w:hint="eastAsia"/>
          <w:highlight w:val="none"/>
        </w:rPr>
        <w:t>宜春市人工智能产业基础薄弱，没有人工智能核心企业。宜春锂矿资源丰富，素有“亚洲锂都”的美称，锂电新能源产业被列为全省第四个千亿产业工程和全省重点发展产业，初步形成了一条从锂云母精选到电池级碳酸锂、电池材料，再到锂离子电池及锂电产品应用的较为完整的锂电新能源产业链。宜春依托动力电池产业基础在新能源汽车、智能网联汽车领域具有一定发展潜力。</w:t>
      </w:r>
    </w:p>
    <w:p>
      <w:pPr>
        <w:pStyle w:val="6"/>
        <w:rPr>
          <w:highlight w:val="none"/>
        </w:rPr>
      </w:pPr>
      <w:r>
        <w:rPr>
          <w:rFonts w:hint="eastAsia"/>
          <w:highlight w:val="none"/>
        </w:rPr>
        <w:t>5.1.2</w:t>
      </w:r>
      <w:r>
        <w:rPr>
          <w:highlight w:val="none"/>
        </w:rPr>
        <w:t xml:space="preserve"> </w:t>
      </w:r>
      <w:r>
        <w:rPr>
          <w:rFonts w:hint="eastAsia"/>
          <w:highlight w:val="none"/>
        </w:rPr>
        <w:t>发展趋势</w:t>
      </w:r>
    </w:p>
    <w:p>
      <w:pPr>
        <w:ind w:firstLine="562" w:firstLineChars="200"/>
        <w:rPr>
          <w:highlight w:val="none"/>
        </w:rPr>
      </w:pPr>
      <w:r>
        <w:rPr>
          <w:rFonts w:hint="eastAsia"/>
          <w:b/>
          <w:highlight w:val="none"/>
        </w:rPr>
        <w:t>人工智能将带来新一轮的产业革命。</w:t>
      </w:r>
      <w:r>
        <w:rPr>
          <w:rFonts w:hint="eastAsia"/>
          <w:highlight w:val="none"/>
        </w:rPr>
        <w:t>无人驾驶、服务机器人、智能家居对乘用车、家电产业产生巨大的变革。无人工厂、无人物流正在成为企业重要的生产手段。智能客服、智能投资顾问、智慧医疗、智慧教育正在塑造现代服务业的新形态。长期来看，人工智能行业总体处于爆发增长期，未来产业发展空间巨大。根据国务院《新一代人工智能发展规划》，到2030年，我国人工智能产值规模将超过10万亿元。</w:t>
      </w:r>
    </w:p>
    <w:p>
      <w:pPr>
        <w:ind w:firstLine="562" w:firstLineChars="200"/>
        <w:rPr>
          <w:highlight w:val="none"/>
        </w:rPr>
      </w:pPr>
      <w:r>
        <w:rPr>
          <w:rFonts w:hint="eastAsia"/>
          <w:b/>
          <w:highlight w:val="none"/>
        </w:rPr>
        <w:t>智能网联汽车、智能服务机器人将成为各地抢占先机的突破口。</w:t>
      </w:r>
      <w:r>
        <w:rPr>
          <w:rFonts w:hint="eastAsia"/>
          <w:highlight w:val="none"/>
        </w:rPr>
        <w:t>随着能源革命和新材料、新一代信息技术的不断突破，汽车产品加快向新能源、轻量化、智能和网联的方向发展，汽车正从交通工具转变为大型移动智能终端、储能单元和数字空间，乘员、车辆、货物、运营平台与基础设施等逐步实现智能互联和数据共享。产业边界日趋模糊，互联网等新兴科技企业大举进入汽车行业。传统企业和新兴企业交融发展，价值链、供应链、创新链发生深刻变化，全球汽车产业生态正在重塑。根据IFR预测，全球工业机器人2016-2019年市场容量为140万台，而服务机器人则高达4230万台，其中4200万台为居家类服务机器人。随着中国服务机器人市场规模的不断扩大，家庭服务机器人将走进更多居民家庭，提高智能化以及服务水平成为智能机器人生产企业提高市场竞争力的关键。</w:t>
      </w:r>
    </w:p>
    <w:p>
      <w:pPr>
        <w:pStyle w:val="6"/>
        <w:rPr>
          <w:highlight w:val="none"/>
        </w:rPr>
      </w:pPr>
      <w:r>
        <w:rPr>
          <w:rFonts w:hint="eastAsia"/>
          <w:highlight w:val="none"/>
        </w:rPr>
        <w:t xml:space="preserve">5.1.4 </w:t>
      </w:r>
      <w:r>
        <w:rPr>
          <w:highlight w:val="none"/>
        </w:rPr>
        <w:t>目标定位</w:t>
      </w:r>
    </w:p>
    <w:p>
      <w:pPr>
        <w:ind w:firstLine="560" w:firstLineChars="200"/>
        <w:rPr>
          <w:highlight w:val="none"/>
        </w:rPr>
      </w:pPr>
      <w:r>
        <w:rPr>
          <w:rFonts w:hint="eastAsia"/>
          <w:highlight w:val="none"/>
        </w:rPr>
        <w:t>智慧小镇以人工智能应用研发为基础，重点发展智能网联汽车和智能服务机器人产业，争取到2</w:t>
      </w:r>
      <w:r>
        <w:rPr>
          <w:highlight w:val="none"/>
        </w:rPr>
        <w:t>020年</w:t>
      </w:r>
      <w:r>
        <w:rPr>
          <w:rFonts w:hint="eastAsia"/>
          <w:highlight w:val="none"/>
        </w:rPr>
        <w:t>建成人工智能创新支撑平台，到2</w:t>
      </w:r>
      <w:r>
        <w:rPr>
          <w:highlight w:val="none"/>
        </w:rPr>
        <w:t>025</w:t>
      </w:r>
      <w:r>
        <w:rPr>
          <w:rFonts w:hint="eastAsia"/>
          <w:highlight w:val="none"/>
        </w:rPr>
        <w:t>年形成智能网联汽车、智能服务机器人两类应用示范，力争到2030年引进和培育</w:t>
      </w:r>
      <w:r>
        <w:rPr>
          <w:highlight w:val="none"/>
        </w:rPr>
        <w:t>30</w:t>
      </w:r>
      <w:r>
        <w:rPr>
          <w:rFonts w:hint="eastAsia"/>
          <w:highlight w:val="none"/>
        </w:rPr>
        <w:t>家国内知名人工智能领军企业，智慧小镇人工智能企业年营业收入突破3</w:t>
      </w:r>
      <w:r>
        <w:rPr>
          <w:highlight w:val="none"/>
        </w:rPr>
        <w:t>00亿元</w:t>
      </w:r>
      <w:r>
        <w:rPr>
          <w:rFonts w:hint="eastAsia"/>
          <w:highlight w:val="none"/>
        </w:rPr>
        <w:t>，培养人工智能中高级人才500名以上，带动就业3万人，实现宜春市人工智能产业在江西省处于领先地位。</w:t>
      </w:r>
    </w:p>
    <w:p>
      <w:pPr>
        <w:pStyle w:val="6"/>
        <w:rPr>
          <w:highlight w:val="none"/>
        </w:rPr>
      </w:pPr>
      <w:r>
        <w:rPr>
          <w:rFonts w:hint="eastAsia"/>
          <w:highlight w:val="none"/>
        </w:rPr>
        <w:t>5.1</w:t>
      </w:r>
      <w:r>
        <w:rPr>
          <w:highlight w:val="none"/>
        </w:rPr>
        <w:t>.</w:t>
      </w:r>
      <w:r>
        <w:rPr>
          <w:rFonts w:hint="eastAsia"/>
          <w:highlight w:val="none"/>
        </w:rPr>
        <w:t>6</w:t>
      </w:r>
      <w:r>
        <w:rPr>
          <w:highlight w:val="none"/>
        </w:rPr>
        <w:t xml:space="preserve"> </w:t>
      </w:r>
      <w:r>
        <w:rPr>
          <w:rFonts w:hint="eastAsia"/>
          <w:highlight w:val="none"/>
        </w:rPr>
        <w:t>实施路径</w:t>
      </w:r>
    </w:p>
    <w:p>
      <w:pPr>
        <w:ind w:firstLine="562" w:firstLineChars="200"/>
        <w:rPr>
          <w:b/>
          <w:highlight w:val="none"/>
        </w:rPr>
      </w:pPr>
      <w:r>
        <w:rPr>
          <w:rFonts w:hint="eastAsia"/>
          <w:b/>
          <w:highlight w:val="none"/>
        </w:rPr>
        <w:t>阶段一（2018-</w:t>
      </w:r>
      <w:r>
        <w:rPr>
          <w:b/>
          <w:highlight w:val="none"/>
        </w:rPr>
        <w:t>2020</w:t>
      </w:r>
      <w:r>
        <w:rPr>
          <w:rFonts w:hint="eastAsia"/>
          <w:b/>
          <w:highlight w:val="none"/>
        </w:rPr>
        <w:t>）：搭建基础技术平台，引进培育初创企业</w:t>
      </w:r>
    </w:p>
    <w:p>
      <w:pPr>
        <w:ind w:firstLine="562" w:firstLineChars="200"/>
        <w:rPr>
          <w:highlight w:val="none"/>
        </w:rPr>
      </w:pPr>
      <w:r>
        <w:rPr>
          <w:b/>
          <w:highlight w:val="none"/>
        </w:rPr>
        <w:t>1</w:t>
      </w:r>
      <w:r>
        <w:rPr>
          <w:rFonts w:hint="eastAsia"/>
          <w:b/>
          <w:highlight w:val="none"/>
        </w:rPr>
        <w:t>、成立智慧小镇人工智能技术与应用研究联合实验室，开展人工智能技术支撑体系研究。</w:t>
      </w:r>
      <w:r>
        <w:rPr>
          <w:rFonts w:hint="eastAsia" w:ascii="Times New Roman" w:hAnsi="Times New Roman" w:cs="Times New Roman"/>
          <w:highlight w:val="none"/>
        </w:rPr>
        <w:t>联合本地高校与江西省内重点高校，开展人工智能技术支撑体系研究，成立人工智能技术与应用研究联合实验室。重点面向宜春市传统工业、锂电新能源、中医药、大健康等行业应用需求，与本地企业共同开展技术研究与应用，搭建人工智能技术应用基础平台，建设行业数据集。</w:t>
      </w:r>
    </w:p>
    <w:p>
      <w:pPr>
        <w:ind w:firstLine="562" w:firstLineChars="200"/>
        <w:rPr>
          <w:highlight w:val="none"/>
        </w:rPr>
      </w:pPr>
      <w:r>
        <w:rPr>
          <w:b/>
          <w:highlight w:val="none"/>
        </w:rPr>
        <w:t>2</w:t>
      </w:r>
      <w:r>
        <w:rPr>
          <w:rFonts w:hint="eastAsia"/>
          <w:b/>
          <w:highlight w:val="none"/>
        </w:rPr>
        <w:t>、建立智能硬件创新工场。</w:t>
      </w:r>
      <w:r>
        <w:rPr>
          <w:rFonts w:hint="eastAsia"/>
          <w:highlight w:val="none"/>
        </w:rPr>
        <w:t>依托腾讯、科大讯飞、机智云等国内知名的第三方服务平台提供智能硬件开发测试环境，为机器人研发企业提供服务支持。鼓励机器人研发企业基于平台开展研发测试业务。建立持续完善机制，根据企业实际需求不断提升平台服务能力。</w:t>
      </w:r>
    </w:p>
    <w:p>
      <w:pPr>
        <w:ind w:firstLine="562" w:firstLineChars="200"/>
        <w:rPr>
          <w:highlight w:val="none"/>
        </w:rPr>
      </w:pPr>
      <w:r>
        <w:rPr>
          <w:b/>
          <w:highlight w:val="none"/>
        </w:rPr>
        <w:t>3</w:t>
      </w:r>
      <w:r>
        <w:rPr>
          <w:rFonts w:hint="eastAsia"/>
          <w:b/>
          <w:highlight w:val="none"/>
        </w:rPr>
        <w:t>、建设人工智能算法训练平台。</w:t>
      </w:r>
      <w:r>
        <w:rPr>
          <w:rFonts w:hint="eastAsia"/>
          <w:highlight w:val="none"/>
        </w:rPr>
        <w:t>以公安、政法等智慧城市应用场景为切入点，开展数据采集和数据标注，不断积累数据，打造人工智能训练数据库。建设人工智能算法训练平台，面向全国提供算法训练数据和服务，提高产业吸引力。</w:t>
      </w:r>
    </w:p>
    <w:p>
      <w:pPr>
        <w:ind w:firstLine="562" w:firstLineChars="200"/>
        <w:rPr>
          <w:highlight w:val="none"/>
        </w:rPr>
      </w:pPr>
      <w:r>
        <w:rPr>
          <w:rFonts w:hint="eastAsia"/>
          <w:b/>
          <w:highlight w:val="none"/>
        </w:rPr>
        <w:t>4、举办人工智能创新大赛。</w:t>
      </w:r>
      <w:r>
        <w:rPr>
          <w:rFonts w:hint="eastAsia"/>
          <w:highlight w:val="none"/>
        </w:rPr>
        <w:t>依托AIIA等人工智能联盟，联合企业、研究机构，定期举办以智能网联汽车、智能服务机器人为主的人工智能技术产品创新大赛。</w:t>
      </w:r>
    </w:p>
    <w:p>
      <w:pPr>
        <w:ind w:firstLine="562" w:firstLineChars="200"/>
        <w:rPr>
          <w:highlight w:val="none"/>
        </w:rPr>
      </w:pPr>
      <w:r>
        <w:rPr>
          <w:rFonts w:hint="eastAsia"/>
          <w:b/>
          <w:highlight w:val="none"/>
        </w:rPr>
        <w:t>5、引进培育人工智能初创企业。</w:t>
      </w:r>
      <w:r>
        <w:rPr>
          <w:rFonts w:hint="eastAsia"/>
          <w:highlight w:val="none"/>
        </w:rPr>
        <w:t>依托本地锂电企业持续提升本地锂电企业技术和产业能力。引进扶植在新能源汽车、智能网联汽车、智能服务机器人细分领域的处在研发阶段、具有高成长性的初创企业，强化产品设计和技术研发。</w:t>
      </w:r>
    </w:p>
    <w:p>
      <w:pPr>
        <w:ind w:firstLine="562" w:firstLineChars="200"/>
        <w:rPr>
          <w:b/>
          <w:highlight w:val="none"/>
        </w:rPr>
      </w:pPr>
      <w:r>
        <w:rPr>
          <w:rFonts w:hint="eastAsia"/>
          <w:b/>
          <w:highlight w:val="none"/>
        </w:rPr>
        <w:t>阶段二（2021-</w:t>
      </w:r>
      <w:r>
        <w:rPr>
          <w:b/>
          <w:highlight w:val="none"/>
        </w:rPr>
        <w:t>2025</w:t>
      </w:r>
      <w:r>
        <w:rPr>
          <w:rFonts w:hint="eastAsia"/>
          <w:b/>
          <w:highlight w:val="none"/>
        </w:rPr>
        <w:t>）：鼓励应用创新，打造两类应用示范</w:t>
      </w:r>
    </w:p>
    <w:p>
      <w:pPr>
        <w:ind w:firstLine="560" w:firstLineChars="200"/>
        <w:rPr>
          <w:highlight w:val="none"/>
        </w:rPr>
      </w:pPr>
      <w:r>
        <w:rPr>
          <w:rFonts w:hint="eastAsia"/>
          <w:highlight w:val="none"/>
        </w:rPr>
        <w:t>1、</w:t>
      </w:r>
      <w:r>
        <w:rPr>
          <w:rFonts w:hint="eastAsia"/>
          <w:b/>
          <w:highlight w:val="none"/>
        </w:rPr>
        <w:t>打造智能网联汽车应用示范。</w:t>
      </w:r>
      <w:r>
        <w:rPr>
          <w:rFonts w:hint="eastAsia"/>
          <w:highlight w:val="none"/>
        </w:rPr>
        <w:t>支持关键零部件、整车及零部件系统集成、车辆智能计算平台体系架构、自动驾驶操作系统、车辆智能算法等关键技术和产品研发。围绕车身、空调、灯具、美容养护、电器等汽车周边配套细分领域，支持产品设计、研发、品牌和销售创新。积极培育道路智能设施、高精度时空服务和车用基础地图、车用通信、信息安全、数据服务、智能出行等智能网联汽车新业态。加强智能汽车复杂应用场景的大数据应用，重点在数据增值、出行服务、金融保险等领域，探索新型商业模式。</w:t>
      </w:r>
    </w:p>
    <w:p>
      <w:pPr>
        <w:ind w:firstLine="562" w:firstLineChars="200"/>
        <w:rPr>
          <w:highlight w:val="none"/>
        </w:rPr>
      </w:pPr>
      <w:r>
        <w:rPr>
          <w:b/>
          <w:highlight w:val="none"/>
        </w:rPr>
        <w:t>2</w:t>
      </w:r>
      <w:r>
        <w:rPr>
          <w:rFonts w:hint="eastAsia"/>
          <w:b/>
          <w:highlight w:val="none"/>
        </w:rPr>
        <w:t>、打造智能服务机器人应用示范。</w:t>
      </w:r>
      <w:r>
        <w:rPr>
          <w:rFonts w:hint="eastAsia"/>
          <w:highlight w:val="none"/>
        </w:rPr>
        <w:t>鼓励支持深挖机器人细分应用场景，应用语音、自然语言处理、计算机视觉等人工智能技术打造企业核心软件能力，同时强化上下游软硬件集成能力，实现针对特定领域的服务机器人产品。着眼于创新宜春市大健康产业，培育新业态，依托本地健康产业基础，从智能家用服务机器人着手，面向老人、残疾人与儿童，注重老年人、残疾人与儿童陪护的特殊性，找寻最佳的陪护应用场景，如移动、通信、交流和安全监测等，开展智能陪护场景应用的研究。</w:t>
      </w:r>
    </w:p>
    <w:p>
      <w:pPr>
        <w:ind w:firstLine="562" w:firstLineChars="200"/>
        <w:rPr>
          <w:b/>
          <w:highlight w:val="none"/>
        </w:rPr>
      </w:pPr>
      <w:r>
        <w:rPr>
          <w:rFonts w:hint="eastAsia"/>
          <w:b/>
          <w:highlight w:val="none"/>
        </w:rPr>
        <w:t>阶段三（</w:t>
      </w:r>
      <w:r>
        <w:rPr>
          <w:b/>
          <w:highlight w:val="none"/>
        </w:rPr>
        <w:t>2026-2030</w:t>
      </w:r>
      <w:r>
        <w:rPr>
          <w:rFonts w:hint="eastAsia"/>
          <w:b/>
          <w:highlight w:val="none"/>
        </w:rPr>
        <w:t>）：打造特色品牌，推动产业化发展</w:t>
      </w:r>
    </w:p>
    <w:p>
      <w:pPr>
        <w:ind w:firstLine="562" w:firstLineChars="200"/>
        <w:rPr>
          <w:rFonts w:ascii="Times New Roman" w:hAnsi="Times New Roman" w:cs="Times New Roman"/>
          <w:highlight w:val="none"/>
        </w:rPr>
      </w:pPr>
      <w:r>
        <w:rPr>
          <w:rFonts w:hint="eastAsia"/>
          <w:b/>
          <w:highlight w:val="none"/>
        </w:rPr>
        <w:t>推进人工智能技术产品成果转化。</w:t>
      </w:r>
      <w:r>
        <w:rPr>
          <w:rFonts w:hint="eastAsia"/>
          <w:highlight w:val="none"/>
        </w:rPr>
        <w:t>在第一、二阶段产品研发的基础上，采用本地生产或外包生产模式，推进技术成果转化和应用推广，实现智能网联汽车零部件、整车的量产，机器人和新型配套服务的应用，强化品牌建设，快速推广至全国乃至全球市场。</w:t>
      </w:r>
    </w:p>
    <w:p>
      <w:pPr>
        <w:pStyle w:val="5"/>
        <w:spacing w:line="377" w:lineRule="auto"/>
        <w:rPr>
          <w:rFonts w:ascii="黑体" w:hAnsi="黑体" w:eastAsia="黑体"/>
          <w:highlight w:val="none"/>
        </w:rPr>
      </w:pPr>
      <w:bookmarkStart w:id="405" w:name="_Toc528843203"/>
      <w:r>
        <w:rPr>
          <w:rFonts w:hint="eastAsia" w:ascii="黑体" w:hAnsi="黑体" w:eastAsia="黑体"/>
          <w:highlight w:val="none"/>
        </w:rPr>
        <w:t>5.2发展区块链，打造区块链创新应用示范高地</w:t>
      </w:r>
      <w:bookmarkEnd w:id="405"/>
    </w:p>
    <w:p>
      <w:pPr>
        <w:pStyle w:val="6"/>
        <w:rPr>
          <w:highlight w:val="none"/>
        </w:rPr>
      </w:pPr>
      <w:r>
        <w:rPr>
          <w:bCs w:val="0"/>
          <w:highlight w:val="none"/>
        </w:rPr>
        <w:t xml:space="preserve">5.2.1 </w:t>
      </w:r>
      <w:r>
        <w:rPr>
          <w:rFonts w:hint="eastAsia"/>
          <w:bCs w:val="0"/>
          <w:highlight w:val="none"/>
        </w:rPr>
        <w:t>基础现状</w:t>
      </w:r>
    </w:p>
    <w:p>
      <w:pPr>
        <w:ind w:firstLine="562" w:firstLineChars="200"/>
        <w:rPr>
          <w:highlight w:val="none"/>
        </w:rPr>
      </w:pPr>
      <w:r>
        <w:rPr>
          <w:rFonts w:hint="eastAsia"/>
          <w:b/>
          <w:highlight w:val="none"/>
        </w:rPr>
        <w:t>宜春市尚无区块链技术研发及应用类项目与企业落地，技术研发人才甚为缺乏，</w:t>
      </w:r>
      <w:r>
        <w:rPr>
          <w:rFonts w:hint="eastAsia"/>
          <w:b/>
          <w:bCs/>
          <w:highlight w:val="none"/>
        </w:rPr>
        <w:t>走区块链技术研发之路不现实。</w:t>
      </w:r>
      <w:r>
        <w:rPr>
          <w:rFonts w:hint="eastAsia"/>
          <w:bCs/>
          <w:highlight w:val="none"/>
        </w:rPr>
        <w:t>区块链是一项有颠覆性潜力的新兴信息技术，智慧小镇提前开展布局，可谋求发展先机，助力宜春市数字经济发展。不过区块链对宜春市来说是全新的技术，不论是技术研发、应用落地、行业治理、联盟机构，宜春都尚未有任何布局与基础。加之宜春本地技术研发人才较为短缺，因此宜春市不适合走区块链技术研发之路。当前</w:t>
      </w:r>
      <w:r>
        <w:rPr>
          <w:rFonts w:hint="eastAsia"/>
          <w:highlight w:val="none"/>
        </w:rPr>
        <w:t>宜春市正面临三产并进、公共服务全面提升的重要节点，</w:t>
      </w:r>
      <w:r>
        <w:rPr>
          <w:rFonts w:hint="eastAsia"/>
          <w:bCs/>
          <w:highlight w:val="none"/>
        </w:rPr>
        <w:t>应用场景的不断扩大以及应用需求的不断膨胀正成为发展区块链的难逢机遇，因此建议宜春市走以应用为导向的区块链布局发展之路。</w:t>
      </w:r>
    </w:p>
    <w:p>
      <w:pPr>
        <w:pStyle w:val="6"/>
        <w:rPr>
          <w:highlight w:val="none"/>
        </w:rPr>
      </w:pPr>
      <w:r>
        <w:rPr>
          <w:bCs w:val="0"/>
          <w:highlight w:val="none"/>
        </w:rPr>
        <w:t xml:space="preserve">5.2.2 </w:t>
      </w:r>
      <w:r>
        <w:rPr>
          <w:rFonts w:hint="eastAsia"/>
          <w:bCs w:val="0"/>
          <w:highlight w:val="none"/>
        </w:rPr>
        <w:t>发展趋势</w:t>
      </w:r>
    </w:p>
    <w:p>
      <w:pPr>
        <w:ind w:firstLine="560" w:firstLineChars="200"/>
        <w:rPr>
          <w:highlight w:val="none"/>
        </w:rPr>
      </w:pPr>
      <w:r>
        <w:rPr>
          <w:rFonts w:hint="eastAsia"/>
          <w:bCs/>
          <w:highlight w:val="none"/>
        </w:rPr>
        <w:t>国家高度关注区块链的发展，我国已迎来区块链的发展热潮。</w:t>
      </w:r>
      <w:r>
        <w:rPr>
          <w:bCs/>
          <w:highlight w:val="none"/>
        </w:rPr>
        <w:t>2016</w:t>
      </w:r>
      <w:r>
        <w:rPr>
          <w:rFonts w:hint="eastAsia"/>
          <w:bCs/>
          <w:highlight w:val="none"/>
        </w:rPr>
        <w:t>年</w:t>
      </w:r>
      <w:r>
        <w:rPr>
          <w:bCs/>
          <w:highlight w:val="none"/>
        </w:rPr>
        <w:t>12</w:t>
      </w:r>
      <w:r>
        <w:rPr>
          <w:rFonts w:hint="eastAsia"/>
          <w:bCs/>
          <w:highlight w:val="none"/>
        </w:rPr>
        <w:t>月国务院印发《“十三五”国家信息化规划》，两次提及区块链，并将其定性为战略性前沿技术，这也是区块链首次写入国家文件。</w:t>
      </w:r>
      <w:r>
        <w:rPr>
          <w:bCs/>
          <w:highlight w:val="none"/>
        </w:rPr>
        <w:t>2018</w:t>
      </w:r>
      <w:r>
        <w:rPr>
          <w:rFonts w:hint="eastAsia"/>
          <w:bCs/>
          <w:highlight w:val="none"/>
        </w:rPr>
        <w:t>年</w:t>
      </w:r>
      <w:r>
        <w:rPr>
          <w:bCs/>
          <w:highlight w:val="none"/>
        </w:rPr>
        <w:t>5</w:t>
      </w:r>
      <w:r>
        <w:rPr>
          <w:rFonts w:hint="eastAsia"/>
          <w:bCs/>
          <w:highlight w:val="none"/>
        </w:rPr>
        <w:t>月中国两院院士大会上，习近平发表讲话明确将人工智能、量子信息、移动通信、物联网和区块链列为新一代信息技术。国家的高度关注之下，</w:t>
      </w:r>
      <w:r>
        <w:rPr>
          <w:rFonts w:hint="eastAsia"/>
          <w:highlight w:val="none"/>
        </w:rPr>
        <w:t>区块链产业发展的热潮已经兴起，</w:t>
      </w:r>
      <w:r>
        <w:rPr>
          <w:rFonts w:hint="eastAsia"/>
          <w:bCs/>
          <w:highlight w:val="none"/>
        </w:rPr>
        <w:t>国内外创新活跃的城市纷纷加大对区块链产业发展的支持力度</w:t>
      </w:r>
      <w:r>
        <w:rPr>
          <w:rFonts w:hint="eastAsia"/>
          <w:highlight w:val="none"/>
        </w:rPr>
        <w:t>。其中，国内北京、上海、杭州、深圳、广州、贵阳等城市的区块链产业加速发展态势尤为明显</w:t>
      </w:r>
      <w:r>
        <w:rPr>
          <w:rFonts w:hint="eastAsia"/>
          <w:bCs/>
          <w:highlight w:val="none"/>
        </w:rPr>
        <w:t>。现如今，</w:t>
      </w:r>
      <w:r>
        <w:rPr>
          <w:rFonts w:hint="eastAsia"/>
          <w:highlight w:val="none"/>
        </w:rPr>
        <w:t>区块链应用已渗透到金融服务、物联网、供应链管理、公共服务、电子商务等多个领域，与实体经济紧密融合。</w:t>
      </w:r>
    </w:p>
    <w:p>
      <w:pPr>
        <w:pStyle w:val="6"/>
        <w:rPr>
          <w:highlight w:val="none"/>
        </w:rPr>
      </w:pPr>
      <w:r>
        <w:rPr>
          <w:bCs w:val="0"/>
          <w:highlight w:val="none"/>
        </w:rPr>
        <w:t xml:space="preserve">5.2.3 </w:t>
      </w:r>
      <w:r>
        <w:rPr>
          <w:rFonts w:hint="eastAsia"/>
          <w:bCs w:val="0"/>
          <w:highlight w:val="none"/>
        </w:rPr>
        <w:t>目标定位</w:t>
      </w:r>
    </w:p>
    <w:p>
      <w:pPr>
        <w:ind w:firstLine="560" w:firstLineChars="200"/>
        <w:rPr>
          <w:highlight w:val="none"/>
        </w:rPr>
      </w:pPr>
      <w:r>
        <w:rPr>
          <w:rFonts w:hint="eastAsia"/>
          <w:highlight w:val="none"/>
        </w:rPr>
        <w:t>以创新应用解决方案为区块链发展的重点切入点，围绕公共服务、金融服务、溯源等本地细分领域应用需求与场景，开展区块链创新应用研究，立足本地逐步打造省级、国家级区块链创新示范应用，吸引汇聚区块链应用初创企业落地智慧小镇，汇聚区块链人才。</w:t>
      </w:r>
    </w:p>
    <w:p>
      <w:pPr>
        <w:ind w:firstLine="560" w:firstLineChars="200"/>
        <w:rPr>
          <w:highlight w:val="none"/>
        </w:rPr>
      </w:pPr>
      <w:r>
        <w:rPr>
          <w:rFonts w:hint="eastAsia"/>
          <w:highlight w:val="none"/>
        </w:rPr>
        <w:t>到</w:t>
      </w:r>
      <w:r>
        <w:rPr>
          <w:highlight w:val="none"/>
        </w:rPr>
        <w:t>2030</w:t>
      </w:r>
      <w:r>
        <w:rPr>
          <w:rFonts w:hint="eastAsia"/>
          <w:highlight w:val="none"/>
        </w:rPr>
        <w:t>年，智慧小镇引进区块链国内细分领域龙头企业</w:t>
      </w:r>
      <w:r>
        <w:rPr>
          <w:highlight w:val="none"/>
        </w:rPr>
        <w:t>8-10</w:t>
      </w:r>
      <w:r>
        <w:rPr>
          <w:rFonts w:hint="eastAsia"/>
          <w:highlight w:val="none"/>
        </w:rPr>
        <w:t>家、有核心技术或成长型的区块链企业</w:t>
      </w:r>
      <w:r>
        <w:rPr>
          <w:highlight w:val="none"/>
        </w:rPr>
        <w:t>20</w:t>
      </w:r>
      <w:r>
        <w:rPr>
          <w:rFonts w:hint="eastAsia"/>
          <w:highlight w:val="none"/>
        </w:rPr>
        <w:t>家以上，引进和培育区块链中高级人才</w:t>
      </w:r>
      <w:r>
        <w:rPr>
          <w:highlight w:val="none"/>
        </w:rPr>
        <w:t>100</w:t>
      </w:r>
      <w:r>
        <w:rPr>
          <w:rFonts w:hint="eastAsia"/>
          <w:highlight w:val="none"/>
        </w:rPr>
        <w:t>名以上，带动就业</w:t>
      </w:r>
      <w:r>
        <w:rPr>
          <w:highlight w:val="none"/>
        </w:rPr>
        <w:t>600</w:t>
      </w:r>
      <w:r>
        <w:rPr>
          <w:rFonts w:hint="eastAsia"/>
          <w:highlight w:val="none"/>
        </w:rPr>
        <w:t>人，在区块链金融、区块链溯源和区块链公共服务等领域发布专利</w:t>
      </w:r>
      <w:r>
        <w:rPr>
          <w:highlight w:val="none"/>
        </w:rPr>
        <w:t>30</w:t>
      </w:r>
      <w:r>
        <w:rPr>
          <w:rFonts w:hint="eastAsia"/>
          <w:highlight w:val="none"/>
        </w:rPr>
        <w:t>余项。</w:t>
      </w:r>
    </w:p>
    <w:p>
      <w:pPr>
        <w:pStyle w:val="6"/>
        <w:rPr>
          <w:highlight w:val="none"/>
        </w:rPr>
      </w:pPr>
      <w:r>
        <w:rPr>
          <w:bCs w:val="0"/>
          <w:highlight w:val="none"/>
        </w:rPr>
        <w:t xml:space="preserve">5.2.4 </w:t>
      </w:r>
      <w:r>
        <w:rPr>
          <w:rFonts w:hint="eastAsia"/>
          <w:bCs w:val="0"/>
          <w:highlight w:val="none"/>
        </w:rPr>
        <w:t>实施路径</w:t>
      </w:r>
    </w:p>
    <w:p>
      <w:pPr>
        <w:ind w:firstLine="560" w:firstLineChars="200"/>
        <w:rPr>
          <w:rFonts w:ascii="Times New Roman" w:hAnsi="Times New Roman" w:cs="Times New Roman"/>
          <w:highlight w:val="none"/>
        </w:rPr>
      </w:pPr>
      <w:r>
        <w:rPr>
          <w:rFonts w:hint="eastAsia"/>
          <w:highlight w:val="none"/>
        </w:rPr>
        <w:t>发展区块链对宜春、对智慧小镇而言都是从零开始，需要从应用着手突破，以政府推动营造区块链应用的氛围，</w:t>
      </w:r>
      <w:r>
        <w:rPr>
          <w:rFonts w:hint="eastAsia" w:ascii="Times New Roman" w:hAnsi="Times New Roman" w:cs="Times New Roman"/>
          <w:highlight w:val="none"/>
        </w:rPr>
        <w:t>以公共服务区块链应用需求为引导，吸引区块链技术研发与应用研发类企业落户智慧小镇，打造适宜本地的公共服务区块链平台，继而推动企业在本地金融、农业、中医药等领域开展区块链应用研究。</w:t>
      </w:r>
    </w:p>
    <w:p>
      <w:pPr>
        <w:ind w:firstLine="562" w:firstLineChars="200"/>
        <w:rPr>
          <w:b/>
          <w:highlight w:val="none"/>
        </w:rPr>
      </w:pPr>
      <w:r>
        <w:rPr>
          <w:b/>
          <w:highlight w:val="none"/>
        </w:rPr>
        <w:t>2018-2020</w:t>
      </w:r>
      <w:r>
        <w:rPr>
          <w:rFonts w:hint="eastAsia"/>
          <w:b/>
          <w:highlight w:val="none"/>
        </w:rPr>
        <w:t>年：</w:t>
      </w:r>
    </w:p>
    <w:p>
      <w:pPr>
        <w:ind w:firstLine="562" w:firstLineChars="200"/>
        <w:rPr>
          <w:highlight w:val="none"/>
        </w:rPr>
      </w:pPr>
      <w:r>
        <w:rPr>
          <w:rFonts w:hint="eastAsia" w:ascii="Times New Roman" w:hAnsi="Times New Roman" w:cs="Times New Roman"/>
          <w:b/>
          <w:highlight w:val="none"/>
        </w:rPr>
        <w:t>探索开展</w:t>
      </w:r>
      <w:r>
        <w:rPr>
          <w:rFonts w:hint="eastAsia"/>
          <w:b/>
          <w:highlight w:val="none"/>
        </w:rPr>
        <w:t>区块链公共服务创新应用，初步建立智慧小镇区块链应用研究中心。</w:t>
      </w:r>
      <w:r>
        <w:rPr>
          <w:rFonts w:hint="eastAsia"/>
          <w:highlight w:val="none"/>
        </w:rPr>
        <w:t>与国内领先的区块链技术服务商及解决方案提供商合作，探索开展基于区块链的公共服务创新应用。同时，以优惠政策与本地公共服务领域尝试区块链应用的决心，与提供服务的区块链企业洽谈，在智慧小镇落地分支研究机构，初步建立智慧小镇区块链应用研究中心。</w:t>
      </w:r>
    </w:p>
    <w:p>
      <w:pPr>
        <w:ind w:firstLine="562" w:firstLineChars="200"/>
        <w:rPr>
          <w:b/>
          <w:highlight w:val="none"/>
        </w:rPr>
      </w:pPr>
      <w:r>
        <w:rPr>
          <w:b/>
          <w:highlight w:val="none"/>
        </w:rPr>
        <w:t>2021-2025</w:t>
      </w:r>
      <w:r>
        <w:rPr>
          <w:rFonts w:hint="eastAsia"/>
          <w:b/>
          <w:highlight w:val="none"/>
        </w:rPr>
        <w:t>年：</w:t>
      </w:r>
    </w:p>
    <w:p>
      <w:pPr>
        <w:ind w:firstLine="562" w:firstLineChars="200"/>
        <w:rPr>
          <w:b/>
          <w:highlight w:val="none"/>
        </w:rPr>
      </w:pPr>
      <w:r>
        <w:rPr>
          <w:rFonts w:hint="eastAsia"/>
          <w:b/>
          <w:highlight w:val="none"/>
        </w:rPr>
        <w:t>培育孵化区块链应用初创企业，探索在公共服务、金融、溯源等领域的应用。</w:t>
      </w:r>
      <w:r>
        <w:rPr>
          <w:rFonts w:hint="eastAsia"/>
          <w:highlight w:val="none"/>
        </w:rPr>
        <w:t>探索区块链在政务服务、民生服务、智慧城市、智慧园区、金融、溯源等领域的创新应用研究，优先在数据共享开放、精准扶贫、数字档案管理、身份认证、智慧出行、土地房屋登记等领域开展区块链应用研究。率先在智慧小镇开展区块链应用试点，践行区块链的创新应用，并逐步推广到全市层面。</w:t>
      </w:r>
    </w:p>
    <w:p>
      <w:pPr>
        <w:ind w:firstLine="562" w:firstLineChars="200"/>
        <w:rPr>
          <w:b/>
          <w:highlight w:val="none"/>
        </w:rPr>
      </w:pPr>
      <w:r>
        <w:rPr>
          <w:b/>
          <w:highlight w:val="none"/>
        </w:rPr>
        <w:t>2026-2030</w:t>
      </w:r>
      <w:r>
        <w:rPr>
          <w:rFonts w:hint="eastAsia"/>
          <w:b/>
          <w:highlight w:val="none"/>
        </w:rPr>
        <w:t>年：</w:t>
      </w:r>
    </w:p>
    <w:p>
      <w:pPr>
        <w:ind w:firstLine="562" w:firstLineChars="200"/>
        <w:rPr>
          <w:rFonts w:ascii="Times New Roman" w:hAnsi="Times New Roman" w:cs="Times New Roman"/>
          <w:highlight w:val="none"/>
        </w:rPr>
      </w:pPr>
      <w:r>
        <w:rPr>
          <w:rFonts w:hint="eastAsia"/>
          <w:b/>
          <w:highlight w:val="none"/>
        </w:rPr>
        <w:t>打造省级区块链金融服务创新示范应用。</w:t>
      </w:r>
      <w:r>
        <w:rPr>
          <w:rFonts w:hint="eastAsia"/>
          <w:highlight w:val="none"/>
        </w:rPr>
        <w:t>探索区块链在供应链金融、数字资产流通、支付等金融领域的创新应用研究，优先在金融征信、风险控制、房地产金融、企业金融、保险、资产管理等细分金融领域开展区块链应用研究。着重针对宜春市中小企业的融资需求，研究基于区块链的产品与服务。</w:t>
      </w:r>
      <w:r>
        <w:rPr>
          <w:rFonts w:hint="eastAsia" w:ascii="Times New Roman" w:hAnsi="Times New Roman" w:cs="Times New Roman"/>
          <w:highlight w:val="none"/>
        </w:rPr>
        <w:t>依托智慧小镇区块链应用研究中心，鼓励区块链企业将现有的区块链金融应用解决方案投入智慧小镇的金融服务中。重点围绕智慧小镇中小企业融资问题，以金融征信为核心，开展供应链金融、保险、企业资产管理等业务的区块链应用尝试，打造</w:t>
      </w:r>
      <w:r>
        <w:rPr>
          <w:rFonts w:ascii="Times New Roman" w:hAnsi="Times New Roman" w:cs="Times New Roman"/>
          <w:highlight w:val="none"/>
        </w:rPr>
        <w:t>2-3</w:t>
      </w:r>
      <w:r>
        <w:rPr>
          <w:rFonts w:hint="eastAsia" w:ascii="Times New Roman" w:hAnsi="Times New Roman" w:cs="Times New Roman"/>
          <w:highlight w:val="none"/>
        </w:rPr>
        <w:t>个</w:t>
      </w:r>
      <w:r>
        <w:rPr>
          <w:rFonts w:hint="eastAsia"/>
          <w:highlight w:val="none"/>
        </w:rPr>
        <w:t>基于区块链的省级</w:t>
      </w:r>
      <w:r>
        <w:rPr>
          <w:rFonts w:hint="eastAsia" w:ascii="Times New Roman" w:hAnsi="Times New Roman" w:cs="Times New Roman"/>
          <w:highlight w:val="none"/>
        </w:rPr>
        <w:t>金融领域创新示范应用，面向全国范围大力宣传。</w:t>
      </w:r>
    </w:p>
    <w:p>
      <w:pPr>
        <w:ind w:firstLine="562" w:firstLineChars="200"/>
        <w:rPr>
          <w:b/>
          <w:bCs/>
          <w:highlight w:val="none"/>
        </w:rPr>
      </w:pPr>
      <w:r>
        <w:rPr>
          <w:rFonts w:hint="eastAsia"/>
          <w:b/>
          <w:highlight w:val="none"/>
        </w:rPr>
        <w:t>打造省级区块链溯源服务创新示范应用。</w:t>
      </w:r>
      <w:r>
        <w:rPr>
          <w:rFonts w:hint="eastAsia"/>
          <w:highlight w:val="none"/>
        </w:rPr>
        <w:t>探索区块链在宜春市特色农产品领域的创新应用研究，优先在中医药、油茶、肉牛、有机农产品等领域开展区块链溯源应用研究。建立基于供应链的重要产品质量安全追溯机制，将农场、农户、认证机构、食品加工企业、销售企业、物流仓储企业等供应链上下游企业全部纳入追溯体系，构建来源可查、去向可追、责任可究的全链条可追溯体系，提高质量安全追溯能力。</w:t>
      </w:r>
      <w:r>
        <w:rPr>
          <w:rFonts w:hint="eastAsia" w:ascii="Times New Roman" w:hAnsi="Times New Roman" w:cs="Times New Roman"/>
          <w:highlight w:val="none"/>
        </w:rPr>
        <w:t>依托智慧小镇区块链应用研究中心，鼓励区块链企业将现有的区块链农业溯源应用解决方案投入宜春市农业服务中。基于宜春市农业、中医药产业发展优势，撮合本地企业与区块链企业开展区块链溯源应用研究，着重发展有机农产品、中医药的区块链溯源应用，打造</w:t>
      </w:r>
      <w:r>
        <w:rPr>
          <w:rFonts w:ascii="Times New Roman" w:hAnsi="Times New Roman" w:cs="Times New Roman"/>
          <w:highlight w:val="none"/>
        </w:rPr>
        <w:t>2-3</w:t>
      </w:r>
      <w:r>
        <w:rPr>
          <w:rFonts w:hint="eastAsia" w:ascii="Times New Roman" w:hAnsi="Times New Roman" w:cs="Times New Roman"/>
          <w:highlight w:val="none"/>
        </w:rPr>
        <w:t>个</w:t>
      </w:r>
      <w:r>
        <w:rPr>
          <w:rFonts w:hint="eastAsia"/>
          <w:highlight w:val="none"/>
        </w:rPr>
        <w:t>基于区块链的省级</w:t>
      </w:r>
      <w:r>
        <w:rPr>
          <w:rFonts w:hint="eastAsia" w:ascii="Times New Roman" w:hAnsi="Times New Roman" w:cs="Times New Roman"/>
          <w:highlight w:val="none"/>
        </w:rPr>
        <w:t>溯源领域创新示范应用，面向全国范围大力宣传。</w:t>
      </w:r>
    </w:p>
    <w:p>
      <w:pPr>
        <w:ind w:firstLine="562" w:firstLineChars="200"/>
        <w:rPr>
          <w:rFonts w:ascii="Times New Roman" w:hAnsi="Times New Roman" w:cs="Times New Roman"/>
          <w:highlight w:val="none"/>
        </w:rPr>
      </w:pPr>
      <w:r>
        <w:rPr>
          <w:rFonts w:hint="eastAsia" w:ascii="Times New Roman" w:hAnsi="Times New Roman" w:cs="Times New Roman"/>
          <w:b/>
          <w:highlight w:val="none"/>
        </w:rPr>
        <w:t>壮大区块链应用研究中心，打造国家级区块链应用示范项目。</w:t>
      </w:r>
      <w:r>
        <w:rPr>
          <w:rFonts w:hint="eastAsia" w:ascii="Times New Roman" w:hAnsi="Times New Roman" w:cs="Times New Roman"/>
          <w:highlight w:val="none"/>
        </w:rPr>
        <w:t>吸纳</w:t>
      </w:r>
      <w:r>
        <w:rPr>
          <w:rFonts w:ascii="Times New Roman" w:hAnsi="Times New Roman" w:cs="Times New Roman"/>
          <w:highlight w:val="none"/>
        </w:rPr>
        <w:t>10</w:t>
      </w:r>
      <w:r>
        <w:rPr>
          <w:rFonts w:hint="eastAsia" w:ascii="Times New Roman" w:hAnsi="Times New Roman" w:cs="Times New Roman"/>
          <w:highlight w:val="none"/>
        </w:rPr>
        <w:t>家以上的区块链企业落户智慧小镇，持续深入开展区块链应用研究，鼓励企业申请区块链相关专利，重点在公共服务、金融、溯源等领域打造</w:t>
      </w:r>
      <w:r>
        <w:rPr>
          <w:rFonts w:ascii="Times New Roman" w:hAnsi="Times New Roman" w:cs="Times New Roman"/>
          <w:highlight w:val="none"/>
        </w:rPr>
        <w:t>3-5</w:t>
      </w:r>
      <w:r>
        <w:rPr>
          <w:rFonts w:hint="eastAsia" w:ascii="Times New Roman" w:hAnsi="Times New Roman" w:cs="Times New Roman"/>
          <w:highlight w:val="none"/>
        </w:rPr>
        <w:t>个国家级区块链应用示范项目，同时开展物联网、数字版权、存证等领域的区块链应用研究。将区块链应用研究关注范围从智慧小镇、宜春市延伸至赣西片区、江西省，打造省级重点区块链应用研究中心。</w:t>
      </w:r>
    </w:p>
    <w:bookmarkEnd w:id="382"/>
    <w:p>
      <w:pPr>
        <w:pStyle w:val="3"/>
        <w:rPr>
          <w:highlight w:val="none"/>
        </w:rPr>
      </w:pPr>
      <w:bookmarkStart w:id="406" w:name="_Toc528843204"/>
      <w:r>
        <w:rPr>
          <w:rFonts w:hint="eastAsia"/>
          <w:highlight w:val="none"/>
        </w:rPr>
        <w:t>四、运营体系建设任务</w:t>
      </w:r>
      <w:bookmarkEnd w:id="406"/>
    </w:p>
    <w:p>
      <w:pPr>
        <w:pStyle w:val="4"/>
        <w:rPr>
          <w:highlight w:val="none"/>
        </w:rPr>
      </w:pPr>
      <w:bookmarkStart w:id="407" w:name="_Toc528843205"/>
      <w:r>
        <w:rPr>
          <w:rFonts w:hint="eastAsia"/>
          <w:highlight w:val="none"/>
        </w:rPr>
        <w:t>（一）运营服务体系框架</w:t>
      </w:r>
      <w:bookmarkEnd w:id="407"/>
    </w:p>
    <w:p>
      <w:pPr>
        <w:ind w:firstLine="560" w:firstLineChars="200"/>
        <w:rPr>
          <w:highlight w:val="none"/>
        </w:rPr>
      </w:pPr>
      <w:r>
        <w:rPr>
          <w:rFonts w:hint="eastAsia"/>
          <w:highlight w:val="none"/>
        </w:rPr>
        <w:t>智慧小镇的智慧服务体系要突破传统物业管理的层次，利用大数据、区块链等新一代信息技术，打造具有现代化服务理念、智能化服务手段、可持续化发展的运营模式，满足运营公司、入驻企业以及相关人员的多方需求。</w:t>
      </w:r>
    </w:p>
    <w:p>
      <w:pPr>
        <w:ind w:firstLine="560" w:firstLineChars="200"/>
        <w:rPr>
          <w:rFonts w:hAnsi="Calibri" w:cs="宋体"/>
          <w:color w:val="000000"/>
          <w:kern w:val="0"/>
          <w:szCs w:val="32"/>
          <w:highlight w:val="none"/>
        </w:rPr>
      </w:pPr>
      <w:r>
        <w:rPr>
          <w:rFonts w:hint="eastAsia" w:hAnsi="Calibri" w:cs="宋体"/>
          <w:color w:val="000000"/>
          <w:kern w:val="0"/>
          <w:szCs w:val="32"/>
          <w:highlight w:val="none"/>
        </w:rPr>
        <w:t>以智慧服务体系建设为目标，充分利用新一代信息技术，打造以四大平台、两大中心为基础的“1+</w:t>
      </w:r>
      <w:r>
        <w:rPr>
          <w:rFonts w:hAnsi="Calibri" w:cs="宋体"/>
          <w:color w:val="000000"/>
          <w:kern w:val="0"/>
          <w:szCs w:val="32"/>
          <w:highlight w:val="none"/>
        </w:rPr>
        <w:t>1</w:t>
      </w:r>
      <w:r>
        <w:rPr>
          <w:rFonts w:hint="eastAsia" w:hAnsi="Calibri" w:cs="宋体"/>
          <w:color w:val="000000"/>
          <w:kern w:val="0"/>
          <w:szCs w:val="32"/>
          <w:highlight w:val="none"/>
        </w:rPr>
        <w:t>”产城结合运营体系，将智慧小镇打造成一体化、协同化、平台化、全面化的智慧园区。</w:t>
      </w:r>
    </w:p>
    <w:p>
      <w:pPr>
        <w:jc w:val="center"/>
        <w:rPr>
          <w:rFonts w:hAnsi="Calibri" w:cs="宋体"/>
          <w:color w:val="000000"/>
          <w:kern w:val="0"/>
          <w:szCs w:val="32"/>
          <w:highlight w:val="none"/>
        </w:rPr>
      </w:pPr>
      <w:r>
        <w:rPr>
          <w:rFonts w:hAnsi="Calibri" w:cs="宋体"/>
          <w:color w:val="000000"/>
          <w:kern w:val="0"/>
          <w:szCs w:val="32"/>
          <w:highlight w:val="none"/>
        </w:rPr>
        <w:drawing>
          <wp:inline distT="0" distB="0" distL="0" distR="0">
            <wp:extent cx="4932680" cy="3438525"/>
            <wp:effectExtent l="0" t="0" r="1270" b="952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4943828" cy="3446477"/>
                    </a:xfrm>
                    <a:prstGeom prst="rect">
                      <a:avLst/>
                    </a:prstGeom>
                    <a:noFill/>
                  </pic:spPr>
                </pic:pic>
              </a:graphicData>
            </a:graphic>
          </wp:inline>
        </w:drawing>
      </w:r>
    </w:p>
    <w:p>
      <w:pPr>
        <w:rPr>
          <w:rFonts w:hAnsi="Calibri" w:cs="宋体"/>
          <w:color w:val="000000"/>
          <w:kern w:val="0"/>
          <w:sz w:val="21"/>
          <w:szCs w:val="21"/>
          <w:highlight w:val="none"/>
        </w:rPr>
      </w:pPr>
      <w:r>
        <w:rPr>
          <w:rFonts w:hint="eastAsia" w:hAnsi="Calibri" w:cs="宋体"/>
          <w:color w:val="000000"/>
          <w:kern w:val="0"/>
          <w:sz w:val="21"/>
          <w:szCs w:val="21"/>
          <w:highlight w:val="none"/>
        </w:rPr>
        <w:t>注：此处的平台包含实体空间和互联网平台。</w:t>
      </w:r>
    </w:p>
    <w:p>
      <w:pPr>
        <w:ind w:firstLine="560" w:firstLineChars="200"/>
        <w:jc w:val="center"/>
        <w:rPr>
          <w:rFonts w:eastAsia="华文仿宋"/>
          <w:highlight w:val="none"/>
        </w:rPr>
      </w:pPr>
      <w:r>
        <w:rPr>
          <w:rFonts w:hint="eastAsia"/>
          <w:highlight w:val="none"/>
        </w:rPr>
        <w:t>图4</w:t>
      </w:r>
      <w:r>
        <w:rPr>
          <w:highlight w:val="none"/>
        </w:rPr>
        <w:t>-</w:t>
      </w:r>
      <w:r>
        <w:rPr>
          <w:rFonts w:hint="eastAsia"/>
          <w:highlight w:val="none"/>
        </w:rPr>
        <w:t>1</w:t>
      </w:r>
      <w:r>
        <w:rPr>
          <w:highlight w:val="none"/>
        </w:rPr>
        <w:t xml:space="preserve"> </w:t>
      </w:r>
      <w:r>
        <w:rPr>
          <w:rFonts w:hint="eastAsia" w:eastAsia="华文仿宋"/>
          <w:highlight w:val="none"/>
        </w:rPr>
        <w:t>运营服务体系构成</w:t>
      </w:r>
    </w:p>
    <w:p>
      <w:pPr>
        <w:pStyle w:val="4"/>
        <w:rPr>
          <w:highlight w:val="none"/>
        </w:rPr>
      </w:pPr>
      <w:bookmarkStart w:id="408" w:name="_Toc528843206"/>
      <w:r>
        <w:rPr>
          <w:rFonts w:hint="eastAsia"/>
          <w:highlight w:val="none"/>
        </w:rPr>
        <w:t>（二）产业支撑平台</w:t>
      </w:r>
      <w:bookmarkEnd w:id="408"/>
    </w:p>
    <w:p>
      <w:pPr>
        <w:ind w:firstLine="560" w:firstLineChars="200"/>
        <w:rPr>
          <w:highlight w:val="none"/>
        </w:rPr>
      </w:pPr>
      <w:r>
        <w:rPr>
          <w:rFonts w:hint="eastAsia"/>
          <w:highlight w:val="none"/>
        </w:rPr>
        <w:t>建设创新、金融、人才、公共服务四大平台，基于大数据等新一代信息技术的广泛运用，高起点、高标准、高水平构建智慧小镇的产业支撑平台。通过信息化、智能化手段，为智慧小镇的产业发展提供全方位的产业支撑服务，实现智慧小镇基础设施优化升级、园区管理高效协同、园区服务整合便捷、产业发展又好又快。</w:t>
      </w:r>
    </w:p>
    <w:p>
      <w:pPr>
        <w:pStyle w:val="5"/>
        <w:spacing w:line="377" w:lineRule="auto"/>
        <w:rPr>
          <w:rFonts w:ascii="黑体" w:hAnsi="黑体" w:eastAsia="黑体"/>
          <w:highlight w:val="none"/>
        </w:rPr>
      </w:pPr>
      <w:bookmarkStart w:id="409" w:name="_Toc528843207"/>
      <w:r>
        <w:rPr>
          <w:rFonts w:ascii="黑体" w:hAnsi="黑体" w:eastAsia="黑体"/>
          <w:highlight w:val="none"/>
        </w:rPr>
        <w:t>1</w:t>
      </w:r>
      <w:r>
        <w:rPr>
          <w:rFonts w:hint="eastAsia" w:ascii="黑体" w:hAnsi="黑体" w:eastAsia="黑体"/>
          <w:highlight w:val="none"/>
        </w:rPr>
        <w:t>．打造创新平台，加强产业孵化</w:t>
      </w:r>
      <w:bookmarkEnd w:id="409"/>
    </w:p>
    <w:p>
      <w:pPr>
        <w:ind w:firstLine="560" w:firstLineChars="200"/>
        <w:rPr>
          <w:rFonts w:ascii="仿宋_GB2312"/>
          <w:highlight w:val="none"/>
        </w:rPr>
      </w:pPr>
      <w:r>
        <w:rPr>
          <w:rFonts w:hint="eastAsia" w:ascii="仿宋_GB2312"/>
          <w:highlight w:val="none"/>
        </w:rPr>
        <w:t>创新平台营造智慧小镇的创新生态圈，为初创者、初创公司提供灵活多样的创新资源及环境，培育创新创业企业，为智慧小镇产业持续发展提供新动能。</w:t>
      </w:r>
    </w:p>
    <w:p>
      <w:pPr>
        <w:jc w:val="center"/>
        <w:rPr>
          <w:rFonts w:ascii="仿宋_GB2312"/>
          <w:highlight w:val="none"/>
        </w:rPr>
      </w:pPr>
      <w:r>
        <w:rPr>
          <w:rFonts w:ascii="仿宋_GB2312"/>
          <w:highlight w:val="none"/>
        </w:rPr>
        <w:drawing>
          <wp:inline distT="0" distB="0" distL="0" distR="0">
            <wp:extent cx="3772535" cy="3117850"/>
            <wp:effectExtent l="0" t="0" r="0" b="635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800051" cy="3140399"/>
                    </a:xfrm>
                    <a:prstGeom prst="rect">
                      <a:avLst/>
                    </a:prstGeom>
                    <a:noFill/>
                  </pic:spPr>
                </pic:pic>
              </a:graphicData>
            </a:graphic>
          </wp:inline>
        </w:drawing>
      </w:r>
    </w:p>
    <w:p>
      <w:pPr>
        <w:jc w:val="center"/>
        <w:rPr>
          <w:rFonts w:ascii="仿宋_GB2312"/>
          <w:highlight w:val="none"/>
        </w:rPr>
      </w:pPr>
      <w:r>
        <w:rPr>
          <w:rFonts w:hint="eastAsia" w:ascii="仿宋_GB2312"/>
          <w:highlight w:val="none"/>
        </w:rPr>
        <w:t>图4-2</w:t>
      </w:r>
      <w:r>
        <w:rPr>
          <w:rFonts w:ascii="仿宋_GB2312"/>
          <w:highlight w:val="none"/>
        </w:rPr>
        <w:t xml:space="preserve"> </w:t>
      </w:r>
      <w:r>
        <w:rPr>
          <w:rFonts w:hint="eastAsia" w:ascii="仿宋_GB2312"/>
          <w:highlight w:val="none"/>
        </w:rPr>
        <w:t>创新平台</w:t>
      </w:r>
    </w:p>
    <w:p>
      <w:pPr>
        <w:ind w:firstLine="562" w:firstLineChars="200"/>
        <w:rPr>
          <w:rFonts w:ascii="仿宋_GB2312"/>
          <w:b/>
          <w:highlight w:val="none"/>
        </w:rPr>
      </w:pPr>
      <w:r>
        <w:rPr>
          <w:rFonts w:hint="eastAsia" w:ascii="仿宋_GB2312"/>
          <w:b/>
          <w:highlight w:val="none"/>
        </w:rPr>
        <w:t>针对创新模式、发展阶段的差异，打造双创基地、孵化基地双基地，提供形式多样的创新载体。</w:t>
      </w:r>
      <w:r>
        <w:rPr>
          <w:rFonts w:hint="eastAsia" w:ascii="仿宋_GB2312"/>
          <w:highlight w:val="none"/>
        </w:rPr>
        <w:t>打造双创基地，通过建设创业咖啡为创业者提供交流平台、联合办公环境以及创业生态，通过建设众创空间，为创业者提供线上、线下的服务支撑。打造孵化基地，为创新科技企业提供空间、财务、政策等方面的支撑，重点开展人工智能、区块链领域的科技成果转化。</w:t>
      </w:r>
    </w:p>
    <w:p>
      <w:pPr>
        <w:ind w:firstLine="562" w:firstLineChars="200"/>
        <w:rPr>
          <w:szCs w:val="28"/>
          <w:highlight w:val="none"/>
        </w:rPr>
      </w:pPr>
      <w:r>
        <w:rPr>
          <w:rFonts w:hint="eastAsia"/>
          <w:b/>
          <w:szCs w:val="28"/>
          <w:highlight w:val="none"/>
        </w:rPr>
        <w:t>依托政府资源，构建创新服务体系。</w:t>
      </w:r>
      <w:r>
        <w:rPr>
          <w:rFonts w:hint="eastAsia"/>
          <w:szCs w:val="28"/>
          <w:highlight w:val="none"/>
        </w:rPr>
        <w:t>整合人社、工商、税务、金融等部门资源，建立孵化企业综合服务平台，为孵化基地入驻的企业提供政策咨询、项目推介、投融资和法律等一站式服务。</w:t>
      </w:r>
    </w:p>
    <w:p>
      <w:pPr>
        <w:ind w:firstLine="562" w:firstLineChars="200"/>
        <w:rPr>
          <w:szCs w:val="28"/>
          <w:highlight w:val="none"/>
        </w:rPr>
      </w:pPr>
      <w:r>
        <w:rPr>
          <w:rFonts w:hint="eastAsia"/>
          <w:b/>
          <w:szCs w:val="28"/>
          <w:highlight w:val="none"/>
        </w:rPr>
        <w:t>引入外部资源进行合作，壮大创新平台的服务支撑能力。</w:t>
      </w:r>
      <w:r>
        <w:rPr>
          <w:rFonts w:hint="eastAsia"/>
          <w:szCs w:val="28"/>
          <w:highlight w:val="none"/>
        </w:rPr>
        <w:t>以宜阳新区为核心力量，统筹宜春市各级政府、协会的服务资源，建设创新服务体系。鼓励互联网企业以提供互联网平台资源的方式提供创新创业帮扶。鼓励龙头企业、产业联盟基于业务优势为创业创新提供产业支撑服务。鼓励科研院所、高等院校基于专业学科优势为创业创新提供技术支撑。</w:t>
      </w:r>
    </w:p>
    <w:p>
      <w:pPr>
        <w:ind w:firstLine="562" w:firstLineChars="200"/>
        <w:rPr>
          <w:szCs w:val="28"/>
          <w:highlight w:val="none"/>
        </w:rPr>
      </w:pPr>
      <w:r>
        <w:rPr>
          <w:rFonts w:hint="eastAsia"/>
          <w:b/>
          <w:szCs w:val="28"/>
          <w:highlight w:val="none"/>
        </w:rPr>
        <w:t>举办形式多样的创新活动及接洽会，营造智慧小镇创新氛围，推动创新成果市场化。</w:t>
      </w:r>
      <w:r>
        <w:rPr>
          <w:rFonts w:hint="eastAsia"/>
          <w:szCs w:val="28"/>
          <w:highlight w:val="none"/>
        </w:rPr>
        <w:t>与大数据产业联盟、工业互联网产业联盟、安全产业联盟等产业发展推进机构接洽，联合各方开展工业互联网、大数据安全和人工智能领域创业创新大赛、论坛和展会，激活园区大数据创业创新氛围，培育大数据创业创新环境，提高创新成果转化率。打造智慧小镇双创示范基地，积极推进示范基地参与国家级、省级双创基地评选，提升创新知名度。</w:t>
      </w:r>
    </w:p>
    <w:p>
      <w:pPr>
        <w:pStyle w:val="5"/>
        <w:spacing w:line="377" w:lineRule="auto"/>
        <w:rPr>
          <w:rFonts w:ascii="黑体" w:hAnsi="黑体" w:eastAsia="黑体"/>
          <w:highlight w:val="none"/>
        </w:rPr>
      </w:pPr>
      <w:bookmarkStart w:id="410" w:name="_Toc528843208"/>
      <w:r>
        <w:rPr>
          <w:rFonts w:ascii="黑体" w:hAnsi="黑体" w:eastAsia="黑体"/>
          <w:highlight w:val="none"/>
        </w:rPr>
        <w:t>2</w:t>
      </w:r>
      <w:r>
        <w:rPr>
          <w:rFonts w:hint="eastAsia" w:ascii="黑体" w:hAnsi="黑体" w:eastAsia="黑体"/>
          <w:highlight w:val="none"/>
        </w:rPr>
        <w:t>．打造金融平台，助力产业发展</w:t>
      </w:r>
      <w:bookmarkEnd w:id="410"/>
    </w:p>
    <w:p>
      <w:pPr>
        <w:ind w:firstLine="560" w:firstLineChars="200"/>
        <w:rPr>
          <w:szCs w:val="28"/>
          <w:highlight w:val="none"/>
        </w:rPr>
      </w:pPr>
      <w:r>
        <w:rPr>
          <w:rFonts w:hint="eastAsia"/>
          <w:szCs w:val="28"/>
          <w:highlight w:val="none"/>
        </w:rPr>
        <w:t>金融平台为智慧小镇企业发展壮大保驾护航，通过完善服务机制、建设多元化资金渠道，充分调动发挥金融催化剂的作用，推进智慧小镇加快发展。</w:t>
      </w:r>
    </w:p>
    <w:p>
      <w:pPr>
        <w:jc w:val="center"/>
        <w:rPr>
          <w:szCs w:val="28"/>
          <w:highlight w:val="none"/>
        </w:rPr>
      </w:pPr>
      <w:r>
        <w:rPr>
          <w:szCs w:val="28"/>
          <w:highlight w:val="none"/>
        </w:rPr>
        <w:drawing>
          <wp:inline distT="0" distB="0" distL="0" distR="0">
            <wp:extent cx="4507865" cy="2747645"/>
            <wp:effectExtent l="0" t="0" r="698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523282" cy="2757085"/>
                    </a:xfrm>
                    <a:prstGeom prst="rect">
                      <a:avLst/>
                    </a:prstGeom>
                    <a:noFill/>
                  </pic:spPr>
                </pic:pic>
              </a:graphicData>
            </a:graphic>
          </wp:inline>
        </w:drawing>
      </w:r>
    </w:p>
    <w:p>
      <w:pPr>
        <w:jc w:val="center"/>
        <w:rPr>
          <w:rFonts w:ascii="仿宋_GB2312"/>
          <w:highlight w:val="none"/>
        </w:rPr>
      </w:pPr>
      <w:r>
        <w:rPr>
          <w:rFonts w:hint="eastAsia" w:ascii="仿宋_GB2312"/>
          <w:highlight w:val="none"/>
        </w:rPr>
        <w:t>图4-</w:t>
      </w:r>
      <w:r>
        <w:rPr>
          <w:rFonts w:ascii="仿宋_GB2312"/>
          <w:highlight w:val="none"/>
        </w:rPr>
        <w:t xml:space="preserve">3 </w:t>
      </w:r>
      <w:r>
        <w:rPr>
          <w:rFonts w:hint="eastAsia" w:ascii="仿宋_GB2312"/>
          <w:highlight w:val="none"/>
        </w:rPr>
        <w:t>金融平台</w:t>
      </w:r>
    </w:p>
    <w:p>
      <w:pPr>
        <w:ind w:firstLine="562" w:firstLineChars="200"/>
        <w:rPr>
          <w:b/>
          <w:szCs w:val="28"/>
          <w:highlight w:val="none"/>
        </w:rPr>
      </w:pPr>
      <w:r>
        <w:rPr>
          <w:rFonts w:hint="eastAsia"/>
          <w:b/>
          <w:szCs w:val="28"/>
          <w:highlight w:val="none"/>
        </w:rPr>
        <w:t>建设金融服务中心。</w:t>
      </w:r>
      <w:r>
        <w:rPr>
          <w:rFonts w:hint="eastAsia"/>
          <w:szCs w:val="28"/>
          <w:highlight w:val="none"/>
        </w:rPr>
        <w:t>建设金融服务中心，将金融网点建设用地纳入运营中心规划中，通过租赁等方式吸引服务机构进驻，提供“一站式”服务，提升服务效率和服务水平。</w:t>
      </w:r>
    </w:p>
    <w:p>
      <w:pPr>
        <w:ind w:firstLine="562" w:firstLineChars="200"/>
        <w:rPr>
          <w:szCs w:val="28"/>
          <w:highlight w:val="none"/>
        </w:rPr>
      </w:pPr>
      <w:r>
        <w:rPr>
          <w:rFonts w:hint="eastAsia"/>
          <w:b/>
          <w:szCs w:val="28"/>
          <w:highlight w:val="none"/>
        </w:rPr>
        <w:t>完善金融服务机制。</w:t>
      </w:r>
      <w:r>
        <w:rPr>
          <w:rFonts w:hint="eastAsia"/>
          <w:szCs w:val="28"/>
          <w:highlight w:val="none"/>
        </w:rPr>
        <w:t>争取政府资源、加强与本地银行等金融机构的合作，强化信贷政策引导，为大数据产业、创新产业和项目争取更好的金融环境。利用大数据、区块链等技术手段，加强金融机构与智慧小镇入驻企业的对接，优化金融服务产品，降低金融风险，提高资金的使用率。</w:t>
      </w:r>
    </w:p>
    <w:p>
      <w:pPr>
        <w:ind w:firstLine="562" w:firstLineChars="200"/>
        <w:rPr>
          <w:szCs w:val="28"/>
          <w:highlight w:val="none"/>
        </w:rPr>
      </w:pPr>
      <w:r>
        <w:rPr>
          <w:rFonts w:hint="eastAsia"/>
          <w:b/>
          <w:szCs w:val="28"/>
          <w:highlight w:val="none"/>
        </w:rPr>
        <w:t>构建多元化的金融服务产品。</w:t>
      </w:r>
      <w:r>
        <w:rPr>
          <w:rFonts w:hint="eastAsia"/>
          <w:szCs w:val="28"/>
          <w:highlight w:val="none"/>
        </w:rPr>
        <w:t>构建以商业银行为主体，多种所有制和经营方式并存的多元化金融服务体系，增强金融市场供给能力和资源配置效率，满足企业的多元化金融服务需求，保障企业发展资金，重点为有前景的中小企业、创业公司提供资金保障。完善科技融资、知识产权融资等多种融资模式。深入探索以P</w:t>
      </w:r>
      <w:r>
        <w:rPr>
          <w:szCs w:val="28"/>
          <w:highlight w:val="none"/>
        </w:rPr>
        <w:t>2P</w:t>
      </w:r>
      <w:r>
        <w:rPr>
          <w:rFonts w:hint="eastAsia"/>
          <w:szCs w:val="28"/>
          <w:highlight w:val="none"/>
        </w:rPr>
        <w:t>、众筹为代表的互联网融资模式，推动产业聚集与升级。</w:t>
      </w:r>
    </w:p>
    <w:p>
      <w:pPr>
        <w:ind w:firstLine="562" w:firstLineChars="200"/>
        <w:rPr>
          <w:szCs w:val="28"/>
          <w:highlight w:val="none"/>
        </w:rPr>
      </w:pPr>
      <w:r>
        <w:rPr>
          <w:rFonts w:hint="eastAsia"/>
          <w:b/>
          <w:szCs w:val="28"/>
          <w:highlight w:val="none"/>
        </w:rPr>
        <w:t>设立产业发展引导基金。</w:t>
      </w:r>
      <w:r>
        <w:rPr>
          <w:rFonts w:hint="eastAsia"/>
          <w:szCs w:val="28"/>
          <w:highlight w:val="none"/>
        </w:rPr>
        <w:t>依托宜春市大数据产业发展基金，设立3</w:t>
      </w:r>
      <w:r>
        <w:rPr>
          <w:szCs w:val="28"/>
          <w:highlight w:val="none"/>
        </w:rPr>
        <w:t>0</w:t>
      </w:r>
      <w:r>
        <w:rPr>
          <w:rFonts w:hint="eastAsia"/>
          <w:szCs w:val="28"/>
          <w:highlight w:val="none"/>
        </w:rPr>
        <w:t>亿规模的大数据产业引导发展基金，支持智慧小镇大数据创业创新项目孵化及相关产业项目推进。</w:t>
      </w:r>
    </w:p>
    <w:p>
      <w:pPr>
        <w:pStyle w:val="5"/>
        <w:spacing w:line="377" w:lineRule="auto"/>
        <w:rPr>
          <w:rFonts w:ascii="黑体" w:hAnsi="黑体" w:eastAsia="黑体"/>
          <w:highlight w:val="none"/>
        </w:rPr>
      </w:pPr>
      <w:bookmarkStart w:id="411" w:name="_Toc528843209"/>
      <w:r>
        <w:rPr>
          <w:rFonts w:ascii="黑体" w:hAnsi="黑体" w:eastAsia="黑体"/>
          <w:highlight w:val="none"/>
        </w:rPr>
        <w:t>3</w:t>
      </w:r>
      <w:r>
        <w:rPr>
          <w:rFonts w:hint="eastAsia" w:ascii="黑体" w:hAnsi="黑体" w:eastAsia="黑体"/>
          <w:highlight w:val="none"/>
        </w:rPr>
        <w:t>．打造人才平台，汇聚产业智力</w:t>
      </w:r>
      <w:bookmarkEnd w:id="411"/>
    </w:p>
    <w:p>
      <w:pPr>
        <w:ind w:firstLine="560" w:firstLineChars="200"/>
        <w:rPr>
          <w:highlight w:val="none"/>
        </w:rPr>
      </w:pPr>
      <w:r>
        <w:rPr>
          <w:rFonts w:hint="eastAsia"/>
          <w:highlight w:val="none"/>
        </w:rPr>
        <w:t>建设引才引智渠道、盘活用好现有人才、完善人才服务体系，不断壮大智慧小镇人才队伍，破解智慧小镇聚集人才的难题。</w:t>
      </w:r>
    </w:p>
    <w:p>
      <w:pPr>
        <w:jc w:val="center"/>
        <w:rPr>
          <w:highlight w:val="none"/>
        </w:rPr>
      </w:pPr>
      <w:r>
        <w:rPr>
          <w:highlight w:val="none"/>
        </w:rPr>
        <w:drawing>
          <wp:inline distT="0" distB="0" distL="0" distR="0">
            <wp:extent cx="5227955" cy="2970530"/>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36853" cy="2975374"/>
                    </a:xfrm>
                    <a:prstGeom prst="rect">
                      <a:avLst/>
                    </a:prstGeom>
                    <a:noFill/>
                  </pic:spPr>
                </pic:pic>
              </a:graphicData>
            </a:graphic>
          </wp:inline>
        </w:drawing>
      </w:r>
    </w:p>
    <w:p>
      <w:pPr>
        <w:jc w:val="center"/>
        <w:rPr>
          <w:rFonts w:ascii="仿宋_GB2312"/>
          <w:highlight w:val="none"/>
        </w:rPr>
      </w:pPr>
      <w:r>
        <w:rPr>
          <w:rFonts w:hint="eastAsia" w:ascii="仿宋_GB2312"/>
          <w:highlight w:val="none"/>
        </w:rPr>
        <w:t>图4-</w:t>
      </w:r>
      <w:r>
        <w:rPr>
          <w:rFonts w:ascii="仿宋_GB2312"/>
          <w:highlight w:val="none"/>
        </w:rPr>
        <w:t xml:space="preserve">4 </w:t>
      </w:r>
      <w:r>
        <w:rPr>
          <w:rFonts w:hint="eastAsia" w:ascii="仿宋_GB2312"/>
          <w:highlight w:val="none"/>
        </w:rPr>
        <w:t>人才平台</w:t>
      </w:r>
    </w:p>
    <w:p>
      <w:pPr>
        <w:rPr>
          <w:highlight w:val="none"/>
        </w:rPr>
      </w:pPr>
      <w:r>
        <w:rPr>
          <w:rFonts w:hint="eastAsia"/>
          <w:highlight w:val="none"/>
        </w:rPr>
        <w:t xml:space="preserve"> </w:t>
      </w:r>
      <w:r>
        <w:rPr>
          <w:highlight w:val="none"/>
        </w:rPr>
        <w:t xml:space="preserve">   </w:t>
      </w:r>
      <w:r>
        <w:rPr>
          <w:rFonts w:hint="eastAsia"/>
          <w:b/>
          <w:highlight w:val="none"/>
        </w:rPr>
        <w:t>打开人才引进渠道，保障智慧小镇产业发展的人才储备。</w:t>
      </w:r>
      <w:r>
        <w:rPr>
          <w:rFonts w:hint="eastAsia"/>
          <w:highlight w:val="none"/>
        </w:rPr>
        <w:t>建立人才信息库，重点掌握在外地高校就读、外地科研机构以及大数据企业工作的人才信息，畅通人才引进信息渠道。与本地宜春学院、宜春职业技术学院以及周边高校合作，培养产业发展急需的计算机软硬件人才。加强与北京、上海、广州等先进地区的交流合作，邀请专家到智慧小镇培训、讲学，引进高端人才。把招商引资与招才引智相结合，坚持科技引智、示范基地和项目引人，资金、项目引进与人才、智力引进相结合，力争引进一个项目，带进一批人才和一些先进技术、管理方法；实施一个项目，培养提高一批人才。加强与全国大型人才市场和中介机构的合作，充分发挥人才市场配置人才资源作用，通过市场引进智慧小镇需要的人才和智力。充分挖掘现有人才作用，开展“以才引才”。</w:t>
      </w:r>
    </w:p>
    <w:p>
      <w:pPr>
        <w:ind w:firstLine="562" w:firstLineChars="200"/>
        <w:rPr>
          <w:b/>
          <w:highlight w:val="none"/>
        </w:rPr>
      </w:pPr>
      <w:r>
        <w:rPr>
          <w:rFonts w:hint="eastAsia"/>
          <w:b/>
          <w:highlight w:val="none"/>
        </w:rPr>
        <w:t>设立人才培训基地，培育大数据产业发展所需人才。</w:t>
      </w:r>
      <w:r>
        <w:rPr>
          <w:rFonts w:hint="eastAsia"/>
          <w:highlight w:val="none"/>
        </w:rPr>
        <w:t>围绕智慧小镇及宜春本地大数据产业呼叫中心、工业互联网等领域的人才需求，建设大数据实训基地，面向在校学生、应届毕业生以及有意进入大数据领域的其他人员，聘请企业专业人员、外部专家和高校教师等，结合企业实际工作要求开展培训，为智慧小镇及宜春市大数据产业发展输出人才。聚焦安全、数字文娱领域，建设培训学校，面向全省及周边地区输出人才。依托与360公司的合作，建设360学校，培育安全领域人才。引进一批国内知名数字文娱企业或机构入驻，联合宜春学院、宜春职业技术学院等宜春本地高校构建数字文娱人才培养基地，主要面向本地及全省提供培训服务，输出产业人才。</w:t>
      </w:r>
    </w:p>
    <w:p>
      <w:pPr>
        <w:ind w:firstLine="562" w:firstLineChars="200"/>
        <w:rPr>
          <w:highlight w:val="none"/>
        </w:rPr>
      </w:pPr>
      <w:r>
        <w:rPr>
          <w:rFonts w:hint="eastAsia"/>
          <w:b/>
          <w:highlight w:val="none"/>
        </w:rPr>
        <w:t>建立人力资源服务产业园，提供人才保障。</w:t>
      </w:r>
      <w:r>
        <w:rPr>
          <w:rFonts w:hint="eastAsia"/>
          <w:highlight w:val="none"/>
        </w:rPr>
        <w:t>坚持“产品集聚区、品牌集散区、企业孵化区、职业培训区”的战略定位，全力打造“立足宜春，服务赣西，辐射全国，关注全球”的人力资源服务产业园，通过政府主导，鼓励社会资本参与，采取“一市场两平台三基地”（即人力资源市场，公共服务平台和高层次人才服务平台，教育培训基地、产业集聚基地和创业孵化基地）模式进行布局，集人才引进、开发、配置、使用、培养和公共人力资源服务等功能于一体，形成完善的人力资源服务产业链，发挥人力资源服务产业集聚效应，为智慧小镇提供充足的人力资源支撑和保障。</w:t>
      </w:r>
    </w:p>
    <w:p>
      <w:pPr>
        <w:pStyle w:val="5"/>
        <w:spacing w:line="377" w:lineRule="auto"/>
        <w:rPr>
          <w:rFonts w:ascii="黑体" w:hAnsi="黑体" w:eastAsia="黑体"/>
          <w:highlight w:val="none"/>
        </w:rPr>
      </w:pPr>
      <w:bookmarkStart w:id="412" w:name="_Toc528843210"/>
      <w:r>
        <w:rPr>
          <w:rFonts w:ascii="黑体" w:hAnsi="黑体" w:eastAsia="黑体"/>
          <w:highlight w:val="none"/>
        </w:rPr>
        <w:t>4</w:t>
      </w:r>
      <w:r>
        <w:rPr>
          <w:rFonts w:hint="eastAsia" w:ascii="黑体" w:hAnsi="黑体" w:eastAsia="黑体"/>
          <w:highlight w:val="none"/>
        </w:rPr>
        <w:t>．打造公共服务平台，提升产业服务能力</w:t>
      </w:r>
      <w:bookmarkEnd w:id="412"/>
    </w:p>
    <w:p>
      <w:pPr>
        <w:adjustRightInd w:val="0"/>
        <w:snapToGrid w:val="0"/>
        <w:ind w:firstLine="560" w:firstLineChars="200"/>
        <w:jc w:val="left"/>
        <w:rPr>
          <w:highlight w:val="none"/>
        </w:rPr>
      </w:pPr>
      <w:r>
        <w:rPr>
          <w:rFonts w:hint="eastAsia"/>
          <w:highlight w:val="none"/>
        </w:rPr>
        <w:t>建设公共服务平台，为产业发展提供综合化服务，推动智慧小镇管理高效协同、服务整合便捷、产业发展又好又快。</w:t>
      </w:r>
    </w:p>
    <w:p>
      <w:pPr>
        <w:adjustRightInd w:val="0"/>
        <w:snapToGrid w:val="0"/>
        <w:jc w:val="center"/>
        <w:rPr>
          <w:highlight w:val="none"/>
        </w:rPr>
      </w:pPr>
      <w:r>
        <w:rPr>
          <w:highlight w:val="none"/>
        </w:rPr>
        <w:drawing>
          <wp:inline distT="0" distB="0" distL="0" distR="0">
            <wp:extent cx="5274310" cy="1659890"/>
            <wp:effectExtent l="0" t="0" r="2540" b="0"/>
            <wp:docPr id="141" name="图片 141" descr="C:\Users\PY\AppData\Local\Temp\F835.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descr="C:\Users\PY\AppData\Local\Temp\F835.tmp.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1660042"/>
                    </a:xfrm>
                    <a:prstGeom prst="rect">
                      <a:avLst/>
                    </a:prstGeom>
                    <a:noFill/>
                    <a:ln>
                      <a:noFill/>
                    </a:ln>
                  </pic:spPr>
                </pic:pic>
              </a:graphicData>
            </a:graphic>
          </wp:inline>
        </w:drawing>
      </w:r>
    </w:p>
    <w:p>
      <w:pPr>
        <w:jc w:val="center"/>
        <w:rPr>
          <w:b/>
          <w:highlight w:val="none"/>
        </w:rPr>
      </w:pPr>
      <w:r>
        <w:rPr>
          <w:rFonts w:hint="eastAsia" w:ascii="仿宋_GB2312"/>
          <w:highlight w:val="none"/>
        </w:rPr>
        <w:t>图4-</w:t>
      </w:r>
      <w:r>
        <w:rPr>
          <w:rFonts w:ascii="仿宋_GB2312"/>
          <w:highlight w:val="none"/>
        </w:rPr>
        <w:t xml:space="preserve">5 </w:t>
      </w:r>
      <w:r>
        <w:rPr>
          <w:rFonts w:hint="eastAsia" w:ascii="仿宋_GB2312"/>
          <w:highlight w:val="none"/>
        </w:rPr>
        <w:t>公共服务平台</w:t>
      </w:r>
    </w:p>
    <w:p>
      <w:pPr>
        <w:adjustRightInd w:val="0"/>
        <w:snapToGrid w:val="0"/>
        <w:ind w:firstLine="562" w:firstLineChars="200"/>
        <w:jc w:val="left"/>
        <w:rPr>
          <w:highlight w:val="none"/>
        </w:rPr>
      </w:pPr>
      <w:r>
        <w:rPr>
          <w:rFonts w:hint="eastAsia"/>
          <w:b/>
          <w:highlight w:val="none"/>
        </w:rPr>
        <w:t>打造公告信息服务平台，提供公共信息服务。</w:t>
      </w:r>
      <w:r>
        <w:rPr>
          <w:rFonts w:hint="eastAsia"/>
          <w:highlight w:val="none"/>
        </w:rPr>
        <w:t>为智慧小镇企业提供物业、管理、法律、培训和园区公共信息等服务，为企业提供多样化的服务，帮助企业不断成长。在智慧小镇配置信息发布的显示屏、二维码标示等，在主要建筑物一层大厅内设置触摸屏、二维码标示牌等，进行信息导引多媒体查询，支持智能手机等终端查询，建设智慧型小镇。</w:t>
      </w:r>
    </w:p>
    <w:p>
      <w:pPr>
        <w:adjustRightInd w:val="0"/>
        <w:snapToGrid w:val="0"/>
        <w:ind w:firstLine="562" w:firstLineChars="200"/>
        <w:jc w:val="left"/>
        <w:rPr>
          <w:highlight w:val="none"/>
        </w:rPr>
      </w:pPr>
      <w:r>
        <w:rPr>
          <w:rFonts w:hint="eastAsia"/>
          <w:b/>
          <w:highlight w:val="none"/>
        </w:rPr>
        <w:t>建设综合服务中心，提供政务、市场、技术等综合服务。</w:t>
      </w:r>
      <w:r>
        <w:rPr>
          <w:rFonts w:hint="eastAsia"/>
          <w:highlight w:val="none"/>
        </w:rPr>
        <w:t>加强与政府机构的合作，提供政务类服务。开展政策宣讲与信息推送服务，为智慧小镇企业提供政策推送、政策讲解和企业申报等服务。提供政策协调服务，代表智慧小镇企业向上反映政策诉求，开展协调工作。提供政务一站式服务，包括工商注册、企业资质申请、项目审批管理、出入境等服务，组织专业服务机构提供政策咨询、代办服务。围绕企业需求，提供市场类服务。建设展厅，利用大数据、V</w:t>
      </w:r>
      <w:r>
        <w:rPr>
          <w:highlight w:val="none"/>
        </w:rPr>
        <w:t>R</w:t>
      </w:r>
      <w:r>
        <w:rPr>
          <w:rFonts w:hint="eastAsia"/>
          <w:highlight w:val="none"/>
        </w:rPr>
        <w:t>等技术手段，为智慧小镇企业提供展示服务。开展商业洽谈会，加强企业宣传、产品推广、市场营销等服务。与政府开展合作，为政府采购搭桥建路。加强与科研院所合作，提供技术类服务。加强智慧小镇企业与科研院所的对接，提供科技成果转化、技术项目交易服务、校企合作、科技中介、技术应用示范等产学研对接服务。建设公共实验室、推进实验室设备、测试设备共享等公共研发服务。</w:t>
      </w:r>
    </w:p>
    <w:p>
      <w:pPr>
        <w:adjustRightInd w:val="0"/>
        <w:snapToGrid w:val="0"/>
        <w:ind w:firstLine="562" w:firstLineChars="200"/>
        <w:jc w:val="left"/>
        <w:rPr>
          <w:b/>
          <w:highlight w:val="none"/>
        </w:rPr>
      </w:pPr>
      <w:r>
        <w:rPr>
          <w:rFonts w:hint="eastAsia"/>
          <w:b/>
          <w:highlight w:val="none"/>
        </w:rPr>
        <w:t>打造知识产权服务中心。</w:t>
      </w:r>
      <w:r>
        <w:rPr>
          <w:rFonts w:hint="eastAsia"/>
          <w:highlight w:val="none"/>
        </w:rPr>
        <w:t>面向企业提供技术合同登记和专利实施许可合同备案；开展知识产权司法鉴定，提供知识产权法律咨询及诉讼代理服务；提供专利技术查新检索、专利数据分析，为企业或行业制定高新技术发展战略提供咨询服务等。</w:t>
      </w:r>
    </w:p>
    <w:p>
      <w:pPr>
        <w:adjustRightInd w:val="0"/>
        <w:snapToGrid w:val="0"/>
        <w:ind w:firstLine="562" w:firstLineChars="200"/>
        <w:jc w:val="left"/>
        <w:rPr>
          <w:highlight w:val="none"/>
        </w:rPr>
      </w:pPr>
      <w:r>
        <w:rPr>
          <w:rFonts w:hint="eastAsia"/>
          <w:b/>
          <w:highlight w:val="none"/>
        </w:rPr>
        <w:t>打造检测认证中心。</w:t>
      </w:r>
      <w:r>
        <w:rPr>
          <w:rFonts w:hint="eastAsia"/>
          <w:highlight w:val="none"/>
        </w:rPr>
        <w:t>重点面向人工智能、区块链、工业互联网等产业提供第三方的检测和认证服务。</w:t>
      </w:r>
    </w:p>
    <w:p>
      <w:pPr>
        <w:pStyle w:val="4"/>
        <w:rPr>
          <w:highlight w:val="none"/>
        </w:rPr>
      </w:pPr>
      <w:bookmarkStart w:id="413" w:name="_Toc528843211"/>
      <w:r>
        <w:rPr>
          <w:rFonts w:hint="eastAsia"/>
          <w:highlight w:val="none"/>
        </w:rPr>
        <w:t>（三）智慧小镇生活配套</w:t>
      </w:r>
      <w:bookmarkEnd w:id="413"/>
    </w:p>
    <w:p>
      <w:pPr>
        <w:ind w:firstLine="560" w:firstLineChars="200"/>
        <w:rPr>
          <w:highlight w:val="none"/>
        </w:rPr>
      </w:pPr>
      <w:r>
        <w:rPr>
          <w:rFonts w:hint="eastAsia"/>
          <w:highlight w:val="none"/>
        </w:rPr>
        <w:t>打造“产城融合”的生活配套设施，杜绝“产业未落、地产现行”的现象。以租代售，提高房地产的使用效率。建设优美的生态环境，提高居民的居住体验。利用大数据等新一代信息技术手段，提供智慧、优质的生活配套服务，在全省打造智慧小镇智能化管理的新样板。</w:t>
      </w:r>
    </w:p>
    <w:p>
      <w:pPr>
        <w:jc w:val="center"/>
        <w:rPr>
          <w:highlight w:val="none"/>
        </w:rPr>
      </w:pPr>
      <w:r>
        <w:rPr>
          <w:highlight w:val="none"/>
        </w:rPr>
        <w:drawing>
          <wp:inline distT="0" distB="0" distL="0" distR="0">
            <wp:extent cx="4121785" cy="208661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216067" cy="2134796"/>
                    </a:xfrm>
                    <a:prstGeom prst="rect">
                      <a:avLst/>
                    </a:prstGeom>
                    <a:noFill/>
                  </pic:spPr>
                </pic:pic>
              </a:graphicData>
            </a:graphic>
          </wp:inline>
        </w:drawing>
      </w:r>
    </w:p>
    <w:p>
      <w:pPr>
        <w:jc w:val="center"/>
        <w:rPr>
          <w:highlight w:val="none"/>
        </w:rPr>
      </w:pPr>
      <w:r>
        <w:rPr>
          <w:rFonts w:hint="eastAsia" w:ascii="仿宋_GB2312"/>
          <w:highlight w:val="none"/>
        </w:rPr>
        <w:t>图4-</w:t>
      </w:r>
      <w:r>
        <w:rPr>
          <w:rFonts w:ascii="仿宋_GB2312"/>
          <w:highlight w:val="none"/>
        </w:rPr>
        <w:t xml:space="preserve">6 </w:t>
      </w:r>
      <w:r>
        <w:rPr>
          <w:rFonts w:hint="eastAsia" w:ascii="仿宋_GB2312"/>
          <w:highlight w:val="none"/>
        </w:rPr>
        <w:t>智慧小镇生活配套</w:t>
      </w:r>
    </w:p>
    <w:p>
      <w:pPr>
        <w:pStyle w:val="5"/>
        <w:spacing w:line="377" w:lineRule="auto"/>
        <w:rPr>
          <w:rFonts w:ascii="黑体" w:hAnsi="黑体" w:eastAsia="黑体"/>
          <w:highlight w:val="none"/>
        </w:rPr>
      </w:pPr>
      <w:bookmarkStart w:id="414" w:name="_Toc528843212"/>
      <w:r>
        <w:rPr>
          <w:rFonts w:ascii="黑体" w:hAnsi="黑体" w:eastAsia="黑体"/>
          <w:highlight w:val="none"/>
        </w:rPr>
        <w:t>1</w:t>
      </w:r>
      <w:r>
        <w:rPr>
          <w:rFonts w:hint="eastAsia" w:ascii="黑体" w:hAnsi="黑体" w:eastAsia="黑体"/>
          <w:highlight w:val="none"/>
        </w:rPr>
        <w:t>．居住中心</w:t>
      </w:r>
      <w:bookmarkEnd w:id="414"/>
    </w:p>
    <w:p>
      <w:pPr>
        <w:ind w:firstLine="560" w:firstLineChars="200"/>
        <w:rPr>
          <w:highlight w:val="none"/>
        </w:rPr>
      </w:pPr>
      <w:r>
        <w:rPr>
          <w:rFonts w:hint="eastAsia"/>
          <w:highlight w:val="none"/>
        </w:rPr>
        <w:t>坚持以人为本，针对不同人群量身打造居住环境，积极探索住宅新模式，满足智慧小镇居民各类需求。</w:t>
      </w:r>
    </w:p>
    <w:p>
      <w:pPr>
        <w:jc w:val="center"/>
        <w:rPr>
          <w:highlight w:val="none"/>
        </w:rPr>
      </w:pPr>
      <w:r>
        <w:rPr>
          <w:highlight w:val="none"/>
        </w:rPr>
        <w:drawing>
          <wp:inline distT="0" distB="0" distL="0" distR="0">
            <wp:extent cx="4818380" cy="2439035"/>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841603" cy="2450834"/>
                    </a:xfrm>
                    <a:prstGeom prst="rect">
                      <a:avLst/>
                    </a:prstGeom>
                    <a:noFill/>
                  </pic:spPr>
                </pic:pic>
              </a:graphicData>
            </a:graphic>
          </wp:inline>
        </w:drawing>
      </w:r>
    </w:p>
    <w:p>
      <w:pPr>
        <w:jc w:val="center"/>
        <w:rPr>
          <w:highlight w:val="none"/>
        </w:rPr>
      </w:pPr>
      <w:r>
        <w:rPr>
          <w:rFonts w:hint="eastAsia" w:ascii="仿宋_GB2312"/>
          <w:highlight w:val="none"/>
        </w:rPr>
        <w:t>图4-</w:t>
      </w:r>
      <w:r>
        <w:rPr>
          <w:rFonts w:ascii="仿宋_GB2312"/>
          <w:highlight w:val="none"/>
        </w:rPr>
        <w:t xml:space="preserve">7 </w:t>
      </w:r>
      <w:r>
        <w:rPr>
          <w:rFonts w:hint="eastAsia" w:ascii="仿宋_GB2312"/>
          <w:highlight w:val="none"/>
        </w:rPr>
        <w:t>居住中心</w:t>
      </w:r>
    </w:p>
    <w:p>
      <w:pPr>
        <w:adjustRightInd w:val="0"/>
        <w:snapToGrid w:val="0"/>
        <w:ind w:firstLine="562" w:firstLineChars="200"/>
        <w:jc w:val="left"/>
        <w:rPr>
          <w:highlight w:val="none"/>
        </w:rPr>
      </w:pPr>
      <w:r>
        <w:rPr>
          <w:rFonts w:hint="eastAsia"/>
          <w:b/>
          <w:highlight w:val="none"/>
        </w:rPr>
        <w:t>针对园区不同人才类型，根据其居住需求，建设多种类型的住宅。</w:t>
      </w:r>
      <w:r>
        <w:rPr>
          <w:rFonts w:hint="eastAsia"/>
          <w:highlight w:val="none"/>
        </w:rPr>
        <w:t>针对普通单身人才，建设SOHO公寓；针对高端人才建设专家公寓；针对在园区安家落户的家庭，建设主题社区。</w:t>
      </w:r>
    </w:p>
    <w:p>
      <w:pPr>
        <w:adjustRightInd w:val="0"/>
        <w:snapToGrid w:val="0"/>
        <w:ind w:firstLine="562" w:firstLineChars="200"/>
        <w:jc w:val="left"/>
        <w:rPr>
          <w:highlight w:val="none"/>
        </w:rPr>
      </w:pPr>
      <w:r>
        <w:rPr>
          <w:rFonts w:hint="eastAsia"/>
          <w:b/>
          <w:highlight w:val="none"/>
        </w:rPr>
        <w:t>积极探索住宅运营新模式。</w:t>
      </w:r>
      <w:r>
        <w:rPr>
          <w:rFonts w:hint="eastAsia"/>
          <w:highlight w:val="none"/>
        </w:rPr>
        <w:t>以租售结合、比例适宜为原则，SOHO公寓以长租的运营模式为主，专家公寓以酒店式公寓、管家式服务模式为主，主题社区要适当放开产权出售、严格控制购买条件。</w:t>
      </w:r>
    </w:p>
    <w:p>
      <w:pPr>
        <w:pStyle w:val="5"/>
        <w:spacing w:line="377" w:lineRule="auto"/>
        <w:rPr>
          <w:rFonts w:ascii="黑体" w:hAnsi="黑体" w:eastAsia="黑体"/>
          <w:highlight w:val="none"/>
        </w:rPr>
      </w:pPr>
      <w:bookmarkStart w:id="415" w:name="_Toc528843213"/>
      <w:r>
        <w:rPr>
          <w:rFonts w:ascii="黑体" w:hAnsi="黑体" w:eastAsia="黑体"/>
          <w:highlight w:val="none"/>
        </w:rPr>
        <w:t>2</w:t>
      </w:r>
      <w:r>
        <w:rPr>
          <w:rFonts w:hint="eastAsia" w:ascii="黑体" w:hAnsi="黑体" w:eastAsia="黑体"/>
          <w:highlight w:val="none"/>
        </w:rPr>
        <w:t>．商业中心</w:t>
      </w:r>
      <w:bookmarkEnd w:id="415"/>
    </w:p>
    <w:p>
      <w:pPr>
        <w:adjustRightInd w:val="0"/>
        <w:snapToGrid w:val="0"/>
        <w:ind w:firstLine="560" w:firstLineChars="200"/>
        <w:jc w:val="left"/>
        <w:rPr>
          <w:highlight w:val="none"/>
        </w:rPr>
      </w:pPr>
      <w:r>
        <w:rPr>
          <w:rFonts w:hint="eastAsia"/>
          <w:highlight w:val="none"/>
        </w:rPr>
        <w:t>除居住需求之外，产城结合的园区还应具备各类生活配套，保障园区工作人员在园区的日常生活，提高生活舒适度，增加人才粘性，留住人才。</w:t>
      </w:r>
    </w:p>
    <w:p>
      <w:pPr>
        <w:adjustRightInd w:val="0"/>
        <w:snapToGrid w:val="0"/>
        <w:jc w:val="center"/>
        <w:rPr>
          <w:highlight w:val="none"/>
        </w:rPr>
      </w:pPr>
      <w:r>
        <w:rPr>
          <w:highlight w:val="none"/>
        </w:rPr>
        <w:drawing>
          <wp:inline distT="0" distB="0" distL="0" distR="0">
            <wp:extent cx="4020820" cy="264668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029099" cy="2651752"/>
                    </a:xfrm>
                    <a:prstGeom prst="rect">
                      <a:avLst/>
                    </a:prstGeom>
                    <a:noFill/>
                  </pic:spPr>
                </pic:pic>
              </a:graphicData>
            </a:graphic>
          </wp:inline>
        </w:drawing>
      </w:r>
    </w:p>
    <w:p>
      <w:pPr>
        <w:jc w:val="center"/>
        <w:rPr>
          <w:highlight w:val="none"/>
        </w:rPr>
      </w:pPr>
      <w:r>
        <w:rPr>
          <w:rFonts w:hint="eastAsia" w:ascii="仿宋_GB2312"/>
          <w:highlight w:val="none"/>
        </w:rPr>
        <w:t>图4-</w:t>
      </w:r>
      <w:r>
        <w:rPr>
          <w:rFonts w:ascii="仿宋_GB2312"/>
          <w:highlight w:val="none"/>
        </w:rPr>
        <w:t xml:space="preserve">8 </w:t>
      </w:r>
      <w:r>
        <w:rPr>
          <w:rFonts w:hint="eastAsia" w:ascii="仿宋_GB2312"/>
          <w:highlight w:val="none"/>
        </w:rPr>
        <w:t>商业中心</w:t>
      </w:r>
    </w:p>
    <w:p>
      <w:pPr>
        <w:adjustRightInd w:val="0"/>
        <w:snapToGrid w:val="0"/>
        <w:ind w:firstLine="562" w:firstLineChars="200"/>
        <w:jc w:val="left"/>
        <w:rPr>
          <w:highlight w:val="none"/>
        </w:rPr>
      </w:pPr>
      <w:r>
        <w:rPr>
          <w:rFonts w:hint="eastAsia"/>
          <w:b/>
          <w:highlight w:val="none"/>
        </w:rPr>
        <w:t>提供优质的教育。</w:t>
      </w:r>
      <w:r>
        <w:rPr>
          <w:rFonts w:hint="eastAsia"/>
          <w:highlight w:val="none"/>
        </w:rPr>
        <w:t>统筹布局中小学校及幼儿园，合理划定学校服务半径和办学规模，新建各级各类教育设施。积极引入市内外优质中小学教育资源到智慧小镇设立分校或联合办学。</w:t>
      </w:r>
    </w:p>
    <w:p>
      <w:pPr>
        <w:adjustRightInd w:val="0"/>
        <w:snapToGrid w:val="0"/>
        <w:ind w:firstLine="562" w:firstLineChars="200"/>
        <w:jc w:val="left"/>
        <w:rPr>
          <w:highlight w:val="none"/>
        </w:rPr>
      </w:pPr>
      <w:r>
        <w:rPr>
          <w:rFonts w:hint="eastAsia"/>
          <w:b/>
          <w:highlight w:val="none"/>
        </w:rPr>
        <w:t>完善医疗卫生服务体系。</w:t>
      </w:r>
      <w:r>
        <w:rPr>
          <w:rFonts w:hint="eastAsia"/>
          <w:highlight w:val="none"/>
        </w:rPr>
        <w:t>加强智慧小镇医疗机构建设，完善以二级公立医院为主导、社区卫生服务中心为基础的公共卫生服务网络。</w:t>
      </w:r>
    </w:p>
    <w:p>
      <w:pPr>
        <w:adjustRightInd w:val="0"/>
        <w:snapToGrid w:val="0"/>
        <w:ind w:firstLine="562" w:firstLineChars="200"/>
        <w:jc w:val="left"/>
        <w:rPr>
          <w:highlight w:val="none"/>
        </w:rPr>
      </w:pPr>
      <w:r>
        <w:rPr>
          <w:rFonts w:hint="eastAsia"/>
          <w:b/>
          <w:highlight w:val="none"/>
        </w:rPr>
        <w:t>推进文化体育建设。</w:t>
      </w:r>
      <w:r>
        <w:rPr>
          <w:rFonts w:hint="eastAsia"/>
          <w:highlight w:val="none"/>
        </w:rPr>
        <w:t>基于产业特色规划建设博物馆。建立一批文娱设施，积极策划举办各类型文化艺术活动，打造特色商业文化活动，提升文化服务层次。加大体育场馆及社区体育健身设施设备配置力度，实现全体居民可便捷享受体育健身服务。</w:t>
      </w:r>
    </w:p>
    <w:p>
      <w:pPr>
        <w:adjustRightInd w:val="0"/>
        <w:snapToGrid w:val="0"/>
        <w:ind w:firstLine="562" w:firstLineChars="200"/>
        <w:jc w:val="left"/>
        <w:rPr>
          <w:highlight w:val="none"/>
        </w:rPr>
      </w:pPr>
      <w:r>
        <w:rPr>
          <w:rFonts w:hint="eastAsia"/>
          <w:b/>
          <w:highlight w:val="none"/>
        </w:rPr>
        <w:t>完善商业中心建设。</w:t>
      </w:r>
      <w:r>
        <w:rPr>
          <w:rFonts w:hint="eastAsia"/>
          <w:highlight w:val="none"/>
        </w:rPr>
        <w:t>为智慧小镇居民提供购物、餐饮、娱乐等一系列消费活动场所。按照智慧小镇人口规模和住宅布局，规划商业中心的辐射范围。针对不同人群，提供高、中及便民服务等不同类型的商业实体。</w:t>
      </w:r>
    </w:p>
    <w:p>
      <w:pPr>
        <w:adjustRightInd w:val="0"/>
        <w:snapToGrid w:val="0"/>
        <w:spacing w:line="312" w:lineRule="auto"/>
        <w:jc w:val="left"/>
        <w:rPr>
          <w:rFonts w:ascii="宋体" w:hAnsi="宋体"/>
          <w:b/>
          <w:sz w:val="32"/>
          <w:szCs w:val="24"/>
          <w:highlight w:val="none"/>
        </w:rPr>
        <w:sectPr>
          <w:footerReference r:id="rId5" w:type="default"/>
          <w:pgSz w:w="11906" w:h="16838"/>
          <w:pgMar w:top="1440" w:right="1800" w:bottom="1440" w:left="1800" w:header="851" w:footer="992" w:gutter="0"/>
          <w:pgNumType w:start="1"/>
          <w:cols w:space="425" w:num="1"/>
          <w:docGrid w:type="lines" w:linePitch="381" w:charSpace="0"/>
        </w:sectPr>
      </w:pPr>
    </w:p>
    <w:p>
      <w:pPr>
        <w:pStyle w:val="3"/>
        <w:rPr>
          <w:highlight w:val="none"/>
        </w:rPr>
      </w:pPr>
      <w:bookmarkStart w:id="416" w:name="_Toc528843214"/>
      <w:r>
        <w:rPr>
          <w:rFonts w:hint="eastAsia"/>
          <w:highlight w:val="none"/>
        </w:rPr>
        <w:t>五、推进策略建议</w:t>
      </w:r>
      <w:bookmarkEnd w:id="416"/>
    </w:p>
    <w:p>
      <w:pPr>
        <w:pStyle w:val="4"/>
        <w:rPr>
          <w:highlight w:val="none"/>
        </w:rPr>
      </w:pPr>
      <w:bookmarkStart w:id="417" w:name="_Toc528843215"/>
      <w:r>
        <w:rPr>
          <w:rFonts w:hint="eastAsia"/>
          <w:highlight w:val="none"/>
        </w:rPr>
        <w:t>（一）空间布局策略</w:t>
      </w:r>
      <w:bookmarkEnd w:id="417"/>
    </w:p>
    <w:p>
      <w:pPr>
        <w:ind w:firstLine="560" w:firstLineChars="200"/>
        <w:rPr>
          <w:highlight w:val="none"/>
        </w:rPr>
      </w:pPr>
      <w:r>
        <w:rPr>
          <w:rFonts w:hint="eastAsia"/>
          <w:highlight w:val="none"/>
        </w:rPr>
        <w:t>智慧小镇目前可开发地块分三期，总规划用地21660亩，可建设用地合计10310亩，详细位置如下图。</w:t>
      </w:r>
    </w:p>
    <w:p>
      <w:pPr>
        <w:jc w:val="center"/>
        <w:rPr>
          <w:highlight w:val="none"/>
        </w:rPr>
      </w:pPr>
      <w:r>
        <w:rPr>
          <w:highlight w:val="none"/>
        </w:rPr>
        <w:drawing>
          <wp:inline distT="0" distB="0" distL="0" distR="0">
            <wp:extent cx="4305300" cy="2625725"/>
            <wp:effectExtent l="0" t="0" r="0"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315828" cy="2632285"/>
                    </a:xfrm>
                    <a:prstGeom prst="rect">
                      <a:avLst/>
                    </a:prstGeom>
                    <a:noFill/>
                  </pic:spPr>
                </pic:pic>
              </a:graphicData>
            </a:graphic>
          </wp:inline>
        </w:drawing>
      </w:r>
    </w:p>
    <w:p>
      <w:pPr>
        <w:ind w:firstLine="560" w:firstLineChars="200"/>
        <w:jc w:val="center"/>
        <w:rPr>
          <w:rFonts w:ascii="仿宋_GB2312"/>
          <w:highlight w:val="none"/>
        </w:rPr>
      </w:pPr>
      <w:r>
        <w:rPr>
          <w:rFonts w:hint="eastAsia" w:ascii="仿宋_GB2312"/>
          <w:highlight w:val="none"/>
        </w:rPr>
        <w:t>图5-1可开发地块基本情况</w:t>
      </w:r>
    </w:p>
    <w:p>
      <w:pPr>
        <w:ind w:firstLine="560" w:firstLineChars="200"/>
        <w:rPr>
          <w:rFonts w:ascii="仿宋_GB2312"/>
          <w:highlight w:val="none"/>
        </w:rPr>
      </w:pPr>
      <w:r>
        <w:rPr>
          <w:rFonts w:hint="eastAsia" w:ascii="仿宋_GB2312"/>
          <w:highlight w:val="none"/>
        </w:rPr>
        <w:t>根据各阶段收入目标，按照土地产出率为595万元/亩测算各阶段产业用地需求，按照15%的综合税率测算税收贡献，结果如下表所示。</w:t>
      </w:r>
    </w:p>
    <w:p>
      <w:pPr>
        <w:ind w:firstLine="560" w:firstLineChars="200"/>
        <w:jc w:val="center"/>
        <w:rPr>
          <w:highlight w:val="none"/>
        </w:rPr>
      </w:pPr>
      <w:bookmarkStart w:id="418" w:name="_Hlk521919665"/>
      <w:r>
        <w:rPr>
          <w:rFonts w:hint="eastAsia"/>
          <w:highlight w:val="none"/>
        </w:rPr>
        <w:t>表5.1</w:t>
      </w:r>
      <w:r>
        <w:rPr>
          <w:highlight w:val="none"/>
        </w:rPr>
        <w:t xml:space="preserve"> </w:t>
      </w:r>
      <w:r>
        <w:rPr>
          <w:rFonts w:hint="eastAsia"/>
          <w:highlight w:val="none"/>
        </w:rPr>
        <w:t>产业用地需求及税收贡献测算</w:t>
      </w:r>
    </w:p>
    <w:bookmarkEnd w:id="418"/>
    <w:tbl>
      <w:tblPr>
        <w:tblStyle w:val="36"/>
        <w:tblW w:w="8336" w:type="dxa"/>
        <w:tblInd w:w="0" w:type="dxa"/>
        <w:shd w:val="clear" w:color="auto" w:fill="FFFFFF" w:themeFill="background1"/>
        <w:tblLayout w:type="fixed"/>
        <w:tblCellMar>
          <w:top w:w="0" w:type="dxa"/>
          <w:left w:w="0" w:type="dxa"/>
          <w:bottom w:w="0" w:type="dxa"/>
          <w:right w:w="0" w:type="dxa"/>
        </w:tblCellMar>
      </w:tblPr>
      <w:tblGrid>
        <w:gridCol w:w="2991"/>
        <w:gridCol w:w="1552"/>
        <w:gridCol w:w="1702"/>
        <w:gridCol w:w="2091"/>
      </w:tblGrid>
      <w:tr>
        <w:tblPrEx>
          <w:shd w:val="clear" w:color="auto" w:fill="FFFFFF" w:themeFill="background1"/>
          <w:tblLayout w:type="fixed"/>
          <w:tblCellMar>
            <w:top w:w="0" w:type="dxa"/>
            <w:left w:w="0" w:type="dxa"/>
            <w:bottom w:w="0" w:type="dxa"/>
            <w:right w:w="0" w:type="dxa"/>
          </w:tblCellMar>
        </w:tblPrEx>
        <w:trPr>
          <w:trHeight w:val="476" w:hRule="atLeast"/>
          <w:tblHeader/>
        </w:trPr>
        <w:tc>
          <w:tcPr>
            <w:tcW w:w="29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ind w:firstLine="480" w:firstLineChars="200"/>
              <w:rPr>
                <w:rFonts w:ascii="仿宋_GB2312"/>
                <w:sz w:val="24"/>
                <w:highlight w:val="none"/>
              </w:rPr>
            </w:pPr>
            <w:r>
              <w:rPr>
                <w:rFonts w:hint="eastAsia" w:ascii="仿宋_GB2312"/>
                <w:sz w:val="24"/>
                <w:highlight w:val="none"/>
              </w:rPr>
              <w:t>　</w:t>
            </w:r>
          </w:p>
        </w:tc>
        <w:tc>
          <w:tcPr>
            <w:tcW w:w="155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ind w:firstLine="480" w:firstLineChars="200"/>
              <w:rPr>
                <w:rFonts w:ascii="仿宋_GB2312"/>
                <w:sz w:val="24"/>
                <w:highlight w:val="none"/>
              </w:rPr>
            </w:pPr>
            <w:r>
              <w:rPr>
                <w:rFonts w:hint="eastAsia" w:ascii="仿宋_GB2312"/>
                <w:sz w:val="24"/>
                <w:highlight w:val="none"/>
              </w:rPr>
              <w:t>2020年</w:t>
            </w:r>
          </w:p>
        </w:tc>
        <w:tc>
          <w:tcPr>
            <w:tcW w:w="170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ind w:firstLine="480" w:firstLineChars="200"/>
              <w:rPr>
                <w:rFonts w:ascii="仿宋_GB2312"/>
                <w:sz w:val="24"/>
                <w:highlight w:val="none"/>
              </w:rPr>
            </w:pPr>
            <w:r>
              <w:rPr>
                <w:rFonts w:hint="eastAsia" w:ascii="仿宋_GB2312"/>
                <w:sz w:val="24"/>
                <w:highlight w:val="none"/>
              </w:rPr>
              <w:t>2025年</w:t>
            </w:r>
          </w:p>
        </w:tc>
        <w:tc>
          <w:tcPr>
            <w:tcW w:w="20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ind w:firstLine="480" w:firstLineChars="200"/>
              <w:rPr>
                <w:rFonts w:ascii="仿宋_GB2312"/>
                <w:sz w:val="24"/>
                <w:highlight w:val="none"/>
              </w:rPr>
            </w:pPr>
            <w:r>
              <w:rPr>
                <w:rFonts w:hint="eastAsia" w:ascii="仿宋_GB2312"/>
                <w:sz w:val="24"/>
                <w:highlight w:val="none"/>
              </w:rPr>
              <w:t>2030年</w:t>
            </w:r>
          </w:p>
        </w:tc>
      </w:tr>
      <w:tr>
        <w:tblPrEx>
          <w:tblLayout w:type="fixed"/>
          <w:tblCellMar>
            <w:top w:w="0" w:type="dxa"/>
            <w:left w:w="0" w:type="dxa"/>
            <w:bottom w:w="0" w:type="dxa"/>
            <w:right w:w="0" w:type="dxa"/>
          </w:tblCellMar>
        </w:tblPrEx>
        <w:trPr>
          <w:trHeight w:val="476" w:hRule="atLeast"/>
        </w:trPr>
        <w:tc>
          <w:tcPr>
            <w:tcW w:w="29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ind w:firstLine="480" w:firstLineChars="200"/>
              <w:rPr>
                <w:rFonts w:ascii="仿宋_GB2312"/>
                <w:sz w:val="24"/>
                <w:highlight w:val="none"/>
              </w:rPr>
            </w:pPr>
            <w:r>
              <w:rPr>
                <w:rFonts w:hint="eastAsia" w:ascii="仿宋_GB2312"/>
                <w:sz w:val="24"/>
                <w:highlight w:val="none"/>
              </w:rPr>
              <w:t>目标（亿元）</w:t>
            </w:r>
          </w:p>
        </w:tc>
        <w:tc>
          <w:tcPr>
            <w:tcW w:w="155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80</w:t>
            </w:r>
          </w:p>
        </w:tc>
        <w:tc>
          <w:tcPr>
            <w:tcW w:w="170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310</w:t>
            </w:r>
          </w:p>
        </w:tc>
        <w:tc>
          <w:tcPr>
            <w:tcW w:w="20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838</w:t>
            </w:r>
          </w:p>
        </w:tc>
      </w:tr>
      <w:tr>
        <w:tblPrEx>
          <w:tblLayout w:type="fixed"/>
          <w:tblCellMar>
            <w:top w:w="0" w:type="dxa"/>
            <w:left w:w="0" w:type="dxa"/>
            <w:bottom w:w="0" w:type="dxa"/>
            <w:right w:w="0" w:type="dxa"/>
          </w:tblCellMar>
        </w:tblPrEx>
        <w:trPr>
          <w:trHeight w:val="476" w:hRule="atLeast"/>
        </w:trPr>
        <w:tc>
          <w:tcPr>
            <w:tcW w:w="29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ind w:firstLine="480" w:firstLineChars="200"/>
              <w:rPr>
                <w:rFonts w:ascii="仿宋_GB2312"/>
                <w:sz w:val="24"/>
                <w:highlight w:val="none"/>
              </w:rPr>
            </w:pPr>
            <w:r>
              <w:rPr>
                <w:rFonts w:hint="eastAsia" w:ascii="仿宋_GB2312"/>
                <w:sz w:val="24"/>
                <w:highlight w:val="none"/>
              </w:rPr>
              <w:t>产业用地需求(亩）</w:t>
            </w:r>
          </w:p>
        </w:tc>
        <w:tc>
          <w:tcPr>
            <w:tcW w:w="155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1350</w:t>
            </w:r>
          </w:p>
        </w:tc>
        <w:tc>
          <w:tcPr>
            <w:tcW w:w="170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tcPr>
          <w:p>
            <w:pPr>
              <w:jc w:val="center"/>
              <w:rPr>
                <w:rFonts w:ascii="仿宋_GB2312"/>
                <w:sz w:val="24"/>
                <w:highlight w:val="none"/>
              </w:rPr>
            </w:pPr>
            <w:r>
              <w:rPr>
                <w:rFonts w:ascii="仿宋_GB2312"/>
                <w:sz w:val="24"/>
                <w:highlight w:val="none"/>
              </w:rPr>
              <w:t xml:space="preserve">5208 </w:t>
            </w:r>
          </w:p>
        </w:tc>
        <w:tc>
          <w:tcPr>
            <w:tcW w:w="20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tcPr>
          <w:p>
            <w:pPr>
              <w:jc w:val="center"/>
              <w:rPr>
                <w:rFonts w:ascii="仿宋_GB2312"/>
                <w:sz w:val="24"/>
                <w:highlight w:val="none"/>
              </w:rPr>
            </w:pPr>
            <w:r>
              <w:rPr>
                <w:rFonts w:ascii="仿宋_GB2312"/>
                <w:sz w:val="24"/>
                <w:highlight w:val="none"/>
              </w:rPr>
              <w:t xml:space="preserve">14076 </w:t>
            </w:r>
          </w:p>
        </w:tc>
      </w:tr>
      <w:tr>
        <w:tblPrEx>
          <w:tblLayout w:type="fixed"/>
          <w:tblCellMar>
            <w:top w:w="0" w:type="dxa"/>
            <w:left w:w="0" w:type="dxa"/>
            <w:bottom w:w="0" w:type="dxa"/>
            <w:right w:w="0" w:type="dxa"/>
          </w:tblCellMar>
        </w:tblPrEx>
        <w:trPr>
          <w:trHeight w:val="476" w:hRule="atLeast"/>
        </w:trPr>
        <w:tc>
          <w:tcPr>
            <w:tcW w:w="29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与现有土地规划衔接</w:t>
            </w:r>
          </w:p>
        </w:tc>
        <w:tc>
          <w:tcPr>
            <w:tcW w:w="155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一期</w:t>
            </w:r>
          </w:p>
        </w:tc>
        <w:tc>
          <w:tcPr>
            <w:tcW w:w="170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一期+二期</w:t>
            </w:r>
          </w:p>
        </w:tc>
        <w:tc>
          <w:tcPr>
            <w:tcW w:w="20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一期+二期+三期</w:t>
            </w:r>
          </w:p>
        </w:tc>
      </w:tr>
      <w:tr>
        <w:tblPrEx>
          <w:tblLayout w:type="fixed"/>
          <w:tblCellMar>
            <w:top w:w="0" w:type="dxa"/>
            <w:left w:w="0" w:type="dxa"/>
            <w:bottom w:w="0" w:type="dxa"/>
            <w:right w:w="0" w:type="dxa"/>
          </w:tblCellMar>
        </w:tblPrEx>
        <w:trPr>
          <w:trHeight w:val="476" w:hRule="atLeast"/>
        </w:trPr>
        <w:tc>
          <w:tcPr>
            <w:tcW w:w="29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现有土地规划面积（亩）</w:t>
            </w:r>
          </w:p>
        </w:tc>
        <w:tc>
          <w:tcPr>
            <w:tcW w:w="155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1350</w:t>
            </w:r>
          </w:p>
        </w:tc>
        <w:tc>
          <w:tcPr>
            <w:tcW w:w="170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6660</w:t>
            </w:r>
          </w:p>
        </w:tc>
        <w:tc>
          <w:tcPr>
            <w:tcW w:w="20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jc w:val="center"/>
              <w:rPr>
                <w:rFonts w:ascii="仿宋_GB2312"/>
                <w:sz w:val="24"/>
                <w:highlight w:val="none"/>
              </w:rPr>
            </w:pPr>
            <w:r>
              <w:rPr>
                <w:rFonts w:hint="eastAsia" w:ascii="仿宋_GB2312"/>
                <w:sz w:val="24"/>
                <w:highlight w:val="none"/>
              </w:rPr>
              <w:t>21660</w:t>
            </w:r>
          </w:p>
        </w:tc>
      </w:tr>
      <w:tr>
        <w:tblPrEx>
          <w:tblLayout w:type="fixed"/>
          <w:tblCellMar>
            <w:top w:w="0" w:type="dxa"/>
            <w:left w:w="0" w:type="dxa"/>
            <w:bottom w:w="0" w:type="dxa"/>
            <w:right w:w="0" w:type="dxa"/>
          </w:tblCellMar>
        </w:tblPrEx>
        <w:trPr>
          <w:trHeight w:val="476" w:hRule="atLeast"/>
        </w:trPr>
        <w:tc>
          <w:tcPr>
            <w:tcW w:w="29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vAlign w:val="center"/>
          </w:tcPr>
          <w:p>
            <w:pPr>
              <w:rPr>
                <w:rFonts w:ascii="仿宋_GB2312"/>
                <w:sz w:val="24"/>
                <w:highlight w:val="none"/>
              </w:rPr>
            </w:pPr>
            <w:r>
              <w:rPr>
                <w:rFonts w:hint="eastAsia" w:ascii="仿宋_GB2312"/>
                <w:sz w:val="24"/>
                <w:highlight w:val="none"/>
              </w:rPr>
              <w:t>税收贡献测算（亿元）</w:t>
            </w:r>
          </w:p>
        </w:tc>
        <w:tc>
          <w:tcPr>
            <w:tcW w:w="155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tcPr>
          <w:p>
            <w:pPr>
              <w:jc w:val="center"/>
              <w:rPr>
                <w:rFonts w:ascii="仿宋_GB2312"/>
                <w:sz w:val="24"/>
                <w:highlight w:val="none"/>
              </w:rPr>
            </w:pPr>
            <w:r>
              <w:rPr>
                <w:rFonts w:ascii="仿宋_GB2312"/>
                <w:sz w:val="24"/>
                <w:highlight w:val="none"/>
              </w:rPr>
              <w:t xml:space="preserve">12.0 </w:t>
            </w:r>
          </w:p>
        </w:tc>
        <w:tc>
          <w:tcPr>
            <w:tcW w:w="1702"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tcPr>
          <w:p>
            <w:pPr>
              <w:jc w:val="center"/>
              <w:rPr>
                <w:rFonts w:ascii="仿宋_GB2312"/>
                <w:sz w:val="24"/>
                <w:highlight w:val="none"/>
              </w:rPr>
            </w:pPr>
            <w:r>
              <w:rPr>
                <w:rFonts w:ascii="仿宋_GB2312"/>
                <w:sz w:val="24"/>
                <w:highlight w:val="none"/>
              </w:rPr>
              <w:t xml:space="preserve">46.5 </w:t>
            </w:r>
          </w:p>
        </w:tc>
        <w:tc>
          <w:tcPr>
            <w:tcW w:w="2091" w:type="dxa"/>
            <w:tcBorders>
              <w:top w:val="single" w:color="000000" w:sz="8" w:space="0"/>
              <w:left w:val="single" w:color="000000" w:sz="8" w:space="0"/>
              <w:bottom w:val="single" w:color="000000" w:sz="8" w:space="0"/>
              <w:right w:val="single" w:color="000000" w:sz="8" w:space="0"/>
            </w:tcBorders>
            <w:shd w:val="clear" w:color="auto" w:fill="FFFFFF" w:themeFill="background1"/>
            <w:tcMar>
              <w:top w:w="15" w:type="dxa"/>
              <w:left w:w="15" w:type="dxa"/>
              <w:bottom w:w="0" w:type="dxa"/>
              <w:right w:w="15" w:type="dxa"/>
            </w:tcMar>
          </w:tcPr>
          <w:p>
            <w:pPr>
              <w:jc w:val="center"/>
              <w:rPr>
                <w:rFonts w:ascii="仿宋_GB2312"/>
                <w:sz w:val="24"/>
                <w:highlight w:val="none"/>
              </w:rPr>
            </w:pPr>
            <w:r>
              <w:rPr>
                <w:rFonts w:ascii="仿宋_GB2312"/>
                <w:sz w:val="24"/>
                <w:highlight w:val="none"/>
              </w:rPr>
              <w:t xml:space="preserve">125.6 </w:t>
            </w:r>
          </w:p>
        </w:tc>
      </w:tr>
    </w:tbl>
    <w:p>
      <w:pPr>
        <w:ind w:firstLine="560" w:firstLineChars="200"/>
        <w:rPr>
          <w:highlight w:val="none"/>
        </w:rPr>
      </w:pPr>
      <w:r>
        <w:rPr>
          <w:rFonts w:hint="eastAsia"/>
          <w:highlight w:val="none"/>
        </w:rPr>
        <w:t>筑基期（2020年）产业用地需求1350亩，占用智慧小镇一期规划用地，税收贡献预计可达12亿元。</w:t>
      </w:r>
    </w:p>
    <w:p>
      <w:pPr>
        <w:ind w:firstLine="560" w:firstLineChars="200"/>
        <w:rPr>
          <w:highlight w:val="none"/>
        </w:rPr>
      </w:pPr>
      <w:r>
        <w:rPr>
          <w:rFonts w:hint="eastAsia"/>
          <w:highlight w:val="none"/>
        </w:rPr>
        <w:t>集聚期（2025年）产业用地需求5208亩，占用智慧小镇一期、二期用地，税收贡献预计可达46.5亿元。</w:t>
      </w:r>
    </w:p>
    <w:p>
      <w:pPr>
        <w:ind w:firstLine="560" w:firstLineChars="200"/>
        <w:rPr>
          <w:highlight w:val="none"/>
        </w:rPr>
      </w:pPr>
      <w:r>
        <w:rPr>
          <w:rFonts w:hint="eastAsia"/>
          <w:highlight w:val="none"/>
        </w:rPr>
        <w:t>飞跃期（2030年）产业用地需求14076亩，占用智慧小镇一期、二期、三期用地（按照当前土地规划，第三期可建设用地暂不能满足目标产业发展需求），税收贡献预计可达125.6亿元。</w:t>
      </w:r>
    </w:p>
    <w:p>
      <w:pPr>
        <w:ind w:firstLine="560" w:firstLineChars="200"/>
        <w:rPr>
          <w:highlight w:val="none"/>
        </w:rPr>
      </w:pPr>
      <w:r>
        <w:rPr>
          <w:rFonts w:hint="eastAsia"/>
          <w:highlight w:val="none"/>
        </w:rPr>
        <w:t>各阶段产业空间布局建议如下：</w:t>
      </w:r>
    </w:p>
    <w:p>
      <w:pPr>
        <w:ind w:firstLine="560" w:firstLineChars="200"/>
        <w:jc w:val="center"/>
        <w:rPr>
          <w:highlight w:val="none"/>
        </w:rPr>
      </w:pPr>
      <w:r>
        <w:rPr>
          <w:rFonts w:hint="eastAsia"/>
          <w:highlight w:val="none"/>
        </w:rPr>
        <w:t>表5.2</w:t>
      </w:r>
      <w:r>
        <w:rPr>
          <w:highlight w:val="none"/>
        </w:rPr>
        <w:t xml:space="preserve"> </w:t>
      </w:r>
      <w:r>
        <w:rPr>
          <w:rFonts w:hint="eastAsia"/>
          <w:highlight w:val="none"/>
        </w:rPr>
        <w:t>产业空间布局</w:t>
      </w:r>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1863"/>
        <w:gridCol w:w="2030"/>
        <w:gridCol w:w="2328"/>
        <w:gridCol w:w="1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2" w:hRule="atLeast"/>
          <w:tblHeader/>
        </w:trPr>
        <w:tc>
          <w:tcPr>
            <w:tcW w:w="869" w:type="dxa"/>
            <w:vAlign w:val="center"/>
          </w:tcPr>
          <w:p>
            <w:pPr>
              <w:ind w:firstLine="482" w:firstLineChars="200"/>
              <w:jc w:val="center"/>
              <w:rPr>
                <w:rFonts w:ascii="仿宋_GB2312"/>
                <w:b/>
                <w:sz w:val="24"/>
                <w:szCs w:val="24"/>
                <w:highlight w:val="none"/>
              </w:rPr>
            </w:pPr>
          </w:p>
        </w:tc>
        <w:tc>
          <w:tcPr>
            <w:tcW w:w="1863" w:type="dxa"/>
            <w:vAlign w:val="center"/>
          </w:tcPr>
          <w:p>
            <w:pPr>
              <w:jc w:val="center"/>
              <w:rPr>
                <w:rFonts w:ascii="仿宋_GB2312"/>
                <w:b/>
                <w:sz w:val="24"/>
                <w:szCs w:val="24"/>
                <w:highlight w:val="none"/>
              </w:rPr>
            </w:pPr>
            <w:r>
              <w:rPr>
                <w:rFonts w:hint="eastAsia" w:ascii="仿宋_GB2312"/>
                <w:b/>
                <w:sz w:val="24"/>
                <w:szCs w:val="24"/>
                <w:highlight w:val="none"/>
              </w:rPr>
              <w:t>产业载体</w:t>
            </w:r>
          </w:p>
        </w:tc>
        <w:tc>
          <w:tcPr>
            <w:tcW w:w="2030" w:type="dxa"/>
            <w:vAlign w:val="center"/>
          </w:tcPr>
          <w:p>
            <w:pPr>
              <w:jc w:val="center"/>
              <w:rPr>
                <w:rFonts w:ascii="仿宋_GB2312"/>
                <w:b/>
                <w:sz w:val="24"/>
                <w:szCs w:val="24"/>
                <w:highlight w:val="none"/>
              </w:rPr>
            </w:pPr>
            <w:r>
              <w:rPr>
                <w:rFonts w:hint="eastAsia" w:ascii="仿宋_GB2312"/>
                <w:b/>
                <w:sz w:val="24"/>
                <w:szCs w:val="24"/>
                <w:highlight w:val="none"/>
              </w:rPr>
              <w:t>产业板块</w:t>
            </w:r>
          </w:p>
        </w:tc>
        <w:tc>
          <w:tcPr>
            <w:tcW w:w="2328" w:type="dxa"/>
            <w:vAlign w:val="center"/>
          </w:tcPr>
          <w:p>
            <w:pPr>
              <w:jc w:val="center"/>
              <w:rPr>
                <w:rFonts w:ascii="仿宋_GB2312"/>
                <w:b/>
                <w:sz w:val="24"/>
                <w:szCs w:val="24"/>
                <w:highlight w:val="none"/>
              </w:rPr>
            </w:pPr>
            <w:r>
              <w:rPr>
                <w:rFonts w:hint="eastAsia" w:ascii="仿宋_GB2312"/>
                <w:b/>
                <w:sz w:val="24"/>
                <w:szCs w:val="24"/>
                <w:highlight w:val="none"/>
              </w:rPr>
              <w:t>产业支撑载体</w:t>
            </w:r>
          </w:p>
        </w:tc>
        <w:tc>
          <w:tcPr>
            <w:tcW w:w="1432" w:type="dxa"/>
            <w:vAlign w:val="center"/>
          </w:tcPr>
          <w:p>
            <w:pPr>
              <w:jc w:val="center"/>
              <w:rPr>
                <w:rFonts w:ascii="仿宋_GB2312"/>
                <w:b/>
                <w:sz w:val="24"/>
                <w:szCs w:val="24"/>
                <w:highlight w:val="none"/>
              </w:rPr>
            </w:pPr>
            <w:r>
              <w:rPr>
                <w:rFonts w:hint="eastAsia" w:ascii="仿宋_GB2312"/>
                <w:b/>
                <w:sz w:val="24"/>
                <w:szCs w:val="24"/>
                <w:highlight w:val="none"/>
              </w:rPr>
              <w:t>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869" w:type="dxa"/>
            <w:vMerge w:val="restart"/>
            <w:vAlign w:val="center"/>
          </w:tcPr>
          <w:p>
            <w:pPr>
              <w:jc w:val="center"/>
              <w:rPr>
                <w:rFonts w:ascii="仿宋_GB2312"/>
                <w:sz w:val="24"/>
                <w:szCs w:val="24"/>
                <w:highlight w:val="none"/>
              </w:rPr>
            </w:pPr>
            <w:r>
              <w:rPr>
                <w:rFonts w:hint="eastAsia" w:ascii="仿宋_GB2312"/>
                <w:sz w:val="24"/>
                <w:szCs w:val="24"/>
                <w:highlight w:val="none"/>
              </w:rPr>
              <w:t>一期</w:t>
            </w:r>
          </w:p>
        </w:tc>
        <w:tc>
          <w:tcPr>
            <w:tcW w:w="1863" w:type="dxa"/>
            <w:vAlign w:val="center"/>
          </w:tcPr>
          <w:p>
            <w:pPr>
              <w:jc w:val="center"/>
              <w:rPr>
                <w:rFonts w:ascii="仿宋_GB2312"/>
                <w:sz w:val="24"/>
                <w:szCs w:val="24"/>
                <w:highlight w:val="none"/>
              </w:rPr>
            </w:pPr>
            <w:r>
              <w:rPr>
                <w:rFonts w:hint="eastAsia" w:ascii="仿宋_GB2312"/>
                <w:sz w:val="24"/>
                <w:szCs w:val="24"/>
                <w:highlight w:val="none"/>
              </w:rPr>
              <w:t>采集中心</w:t>
            </w:r>
          </w:p>
        </w:tc>
        <w:tc>
          <w:tcPr>
            <w:tcW w:w="2030" w:type="dxa"/>
            <w:vAlign w:val="center"/>
          </w:tcPr>
          <w:p>
            <w:pPr>
              <w:rPr>
                <w:rFonts w:ascii="仿宋_GB2312"/>
                <w:sz w:val="24"/>
                <w:szCs w:val="24"/>
                <w:highlight w:val="none"/>
              </w:rPr>
            </w:pPr>
            <w:r>
              <w:rPr>
                <w:rFonts w:hint="eastAsia" w:ascii="仿宋_GB2312"/>
                <w:sz w:val="24"/>
                <w:szCs w:val="24"/>
                <w:highlight w:val="none"/>
              </w:rPr>
              <w:t>数据采集、清洗、加工产业</w:t>
            </w:r>
          </w:p>
        </w:tc>
        <w:tc>
          <w:tcPr>
            <w:tcW w:w="2328" w:type="dxa"/>
            <w:vMerge w:val="restart"/>
            <w:vAlign w:val="center"/>
          </w:tcPr>
          <w:p>
            <w:pPr>
              <w:rPr>
                <w:rFonts w:ascii="仿宋_GB2312"/>
                <w:sz w:val="24"/>
                <w:szCs w:val="24"/>
                <w:highlight w:val="none"/>
              </w:rPr>
            </w:pPr>
            <w:r>
              <w:rPr>
                <w:rFonts w:hint="eastAsia" w:ascii="仿宋_GB2312"/>
                <w:sz w:val="24"/>
                <w:szCs w:val="24"/>
                <w:highlight w:val="none"/>
              </w:rPr>
              <w:t>创新平台：双创基地、孵化基地</w:t>
            </w:r>
          </w:p>
          <w:p>
            <w:pPr>
              <w:rPr>
                <w:rFonts w:ascii="仿宋_GB2312"/>
                <w:sz w:val="24"/>
                <w:szCs w:val="24"/>
                <w:highlight w:val="none"/>
              </w:rPr>
            </w:pPr>
            <w:r>
              <w:rPr>
                <w:rFonts w:hint="eastAsia" w:ascii="仿宋_GB2312"/>
                <w:sz w:val="24"/>
                <w:szCs w:val="24"/>
                <w:highlight w:val="none"/>
              </w:rPr>
              <w:t>金融平台：金融服务中心</w:t>
            </w:r>
          </w:p>
          <w:p>
            <w:pPr>
              <w:rPr>
                <w:rFonts w:ascii="仿宋_GB2312"/>
                <w:sz w:val="24"/>
                <w:szCs w:val="24"/>
                <w:highlight w:val="none"/>
              </w:rPr>
            </w:pPr>
            <w:r>
              <w:rPr>
                <w:rFonts w:hint="eastAsia" w:ascii="仿宋_GB2312"/>
                <w:sz w:val="24"/>
                <w:szCs w:val="24"/>
                <w:highlight w:val="none"/>
              </w:rPr>
              <w:t>人才平台：培训学校</w:t>
            </w:r>
          </w:p>
          <w:p>
            <w:pPr>
              <w:rPr>
                <w:rFonts w:ascii="仿宋_GB2312"/>
                <w:sz w:val="24"/>
                <w:szCs w:val="24"/>
                <w:highlight w:val="none"/>
              </w:rPr>
            </w:pPr>
            <w:r>
              <w:rPr>
                <w:rFonts w:hint="eastAsia" w:ascii="仿宋_GB2312"/>
                <w:sz w:val="24"/>
                <w:szCs w:val="24"/>
                <w:highlight w:val="none"/>
              </w:rPr>
              <w:t>公共服务平台：综合服务中心</w:t>
            </w:r>
          </w:p>
        </w:tc>
        <w:tc>
          <w:tcPr>
            <w:tcW w:w="1432" w:type="dxa"/>
            <w:vMerge w:val="restart"/>
            <w:vAlign w:val="center"/>
          </w:tcPr>
          <w:p>
            <w:pPr>
              <w:rPr>
                <w:rFonts w:ascii="仿宋_GB2312"/>
                <w:sz w:val="24"/>
                <w:szCs w:val="24"/>
                <w:highlight w:val="none"/>
              </w:rPr>
            </w:pPr>
            <w:r>
              <w:rPr>
                <w:rFonts w:hint="eastAsia" w:ascii="仿宋_GB2312"/>
                <w:sz w:val="24"/>
                <w:szCs w:val="24"/>
                <w:highlight w:val="none"/>
              </w:rPr>
              <w:t>商业中心：商务酒店</w:t>
            </w:r>
          </w:p>
          <w:p>
            <w:pPr>
              <w:rPr>
                <w:rFonts w:ascii="仿宋_GB2312"/>
                <w:sz w:val="24"/>
                <w:szCs w:val="24"/>
                <w:highlight w:val="none"/>
              </w:rPr>
            </w:pPr>
            <w:r>
              <w:rPr>
                <w:rFonts w:hint="eastAsia" w:ascii="仿宋_GB2312"/>
                <w:sz w:val="24"/>
                <w:szCs w:val="24"/>
                <w:highlight w:val="none"/>
              </w:rPr>
              <w:t>居住中心：人才公寓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869" w:type="dxa"/>
            <w:vMerge w:val="continue"/>
            <w:vAlign w:val="center"/>
          </w:tcPr>
          <w:p>
            <w:pPr>
              <w:ind w:firstLine="480" w:firstLineChars="200"/>
              <w:rPr>
                <w:rFonts w:ascii="仿宋_GB2312"/>
                <w:sz w:val="24"/>
                <w:szCs w:val="24"/>
                <w:highlight w:val="none"/>
              </w:rPr>
            </w:pPr>
          </w:p>
        </w:tc>
        <w:tc>
          <w:tcPr>
            <w:tcW w:w="1863" w:type="dxa"/>
            <w:vAlign w:val="center"/>
          </w:tcPr>
          <w:p>
            <w:pPr>
              <w:jc w:val="center"/>
              <w:rPr>
                <w:rFonts w:ascii="仿宋_GB2312"/>
                <w:sz w:val="24"/>
                <w:szCs w:val="24"/>
                <w:highlight w:val="none"/>
              </w:rPr>
            </w:pPr>
            <w:r>
              <w:rPr>
                <w:rFonts w:hint="eastAsia" w:ascii="仿宋_GB2312"/>
                <w:sz w:val="24"/>
                <w:szCs w:val="24"/>
                <w:highlight w:val="none"/>
              </w:rPr>
              <w:t>云数据中心</w:t>
            </w:r>
          </w:p>
        </w:tc>
        <w:tc>
          <w:tcPr>
            <w:tcW w:w="2030" w:type="dxa"/>
            <w:vAlign w:val="center"/>
          </w:tcPr>
          <w:p>
            <w:pPr>
              <w:rPr>
                <w:rFonts w:ascii="仿宋_GB2312"/>
                <w:sz w:val="24"/>
                <w:szCs w:val="24"/>
                <w:highlight w:val="none"/>
              </w:rPr>
            </w:pPr>
            <w:r>
              <w:rPr>
                <w:rFonts w:hint="eastAsia" w:ascii="仿宋_GB2312"/>
                <w:sz w:val="24"/>
                <w:szCs w:val="24"/>
                <w:highlight w:val="none"/>
              </w:rPr>
              <w:t>云服务产业</w:t>
            </w:r>
          </w:p>
        </w:tc>
        <w:tc>
          <w:tcPr>
            <w:tcW w:w="2328" w:type="dxa"/>
            <w:vMerge w:val="continue"/>
            <w:vAlign w:val="center"/>
          </w:tcPr>
          <w:p>
            <w:pPr>
              <w:ind w:firstLine="480" w:firstLineChars="200"/>
              <w:rPr>
                <w:rFonts w:ascii="仿宋_GB2312"/>
                <w:sz w:val="24"/>
                <w:szCs w:val="24"/>
                <w:highlight w:val="none"/>
              </w:rPr>
            </w:pPr>
          </w:p>
        </w:tc>
        <w:tc>
          <w:tcPr>
            <w:tcW w:w="1432" w:type="dxa"/>
            <w:vMerge w:val="continue"/>
            <w:vAlign w:val="center"/>
          </w:tcPr>
          <w:p>
            <w:pPr>
              <w:ind w:firstLine="480" w:firstLineChars="200"/>
              <w:rPr>
                <w:rFonts w:ascii="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869" w:type="dxa"/>
            <w:vMerge w:val="continue"/>
            <w:vAlign w:val="center"/>
          </w:tcPr>
          <w:p>
            <w:pPr>
              <w:ind w:firstLine="480" w:firstLineChars="200"/>
              <w:rPr>
                <w:rFonts w:ascii="仿宋_GB2312"/>
                <w:sz w:val="24"/>
                <w:szCs w:val="24"/>
                <w:highlight w:val="none"/>
              </w:rPr>
            </w:pPr>
          </w:p>
        </w:tc>
        <w:tc>
          <w:tcPr>
            <w:tcW w:w="1863" w:type="dxa"/>
            <w:vAlign w:val="center"/>
          </w:tcPr>
          <w:p>
            <w:pPr>
              <w:jc w:val="center"/>
              <w:rPr>
                <w:rFonts w:ascii="仿宋_GB2312"/>
                <w:sz w:val="24"/>
                <w:szCs w:val="24"/>
                <w:highlight w:val="none"/>
              </w:rPr>
            </w:pPr>
            <w:r>
              <w:rPr>
                <w:rFonts w:hint="eastAsia" w:ascii="仿宋_GB2312"/>
                <w:sz w:val="24"/>
                <w:szCs w:val="24"/>
                <w:highlight w:val="none"/>
              </w:rPr>
              <w:t>呼叫中心</w:t>
            </w:r>
          </w:p>
        </w:tc>
        <w:tc>
          <w:tcPr>
            <w:tcW w:w="2030" w:type="dxa"/>
            <w:vAlign w:val="center"/>
          </w:tcPr>
          <w:p>
            <w:pPr>
              <w:rPr>
                <w:rFonts w:ascii="仿宋_GB2312"/>
                <w:sz w:val="24"/>
                <w:szCs w:val="24"/>
                <w:highlight w:val="none"/>
              </w:rPr>
            </w:pPr>
            <w:r>
              <w:rPr>
                <w:rFonts w:hint="eastAsia" w:ascii="仿宋_GB2312"/>
                <w:sz w:val="24"/>
                <w:szCs w:val="24"/>
                <w:highlight w:val="none"/>
              </w:rPr>
              <w:t>呼叫中心产业</w:t>
            </w:r>
          </w:p>
        </w:tc>
        <w:tc>
          <w:tcPr>
            <w:tcW w:w="2328" w:type="dxa"/>
            <w:vMerge w:val="continue"/>
            <w:vAlign w:val="center"/>
          </w:tcPr>
          <w:p>
            <w:pPr>
              <w:ind w:firstLine="480" w:firstLineChars="200"/>
              <w:rPr>
                <w:rFonts w:ascii="仿宋_GB2312"/>
                <w:sz w:val="24"/>
                <w:szCs w:val="24"/>
                <w:highlight w:val="none"/>
              </w:rPr>
            </w:pPr>
          </w:p>
        </w:tc>
        <w:tc>
          <w:tcPr>
            <w:tcW w:w="1432" w:type="dxa"/>
            <w:vMerge w:val="continue"/>
            <w:vAlign w:val="center"/>
          </w:tcPr>
          <w:p>
            <w:pPr>
              <w:ind w:firstLine="480" w:firstLineChars="200"/>
              <w:rPr>
                <w:rFonts w:ascii="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9" w:type="dxa"/>
            <w:vMerge w:val="continue"/>
            <w:vAlign w:val="center"/>
          </w:tcPr>
          <w:p>
            <w:pPr>
              <w:ind w:firstLine="480" w:firstLineChars="200"/>
              <w:rPr>
                <w:rFonts w:ascii="仿宋_GB2312"/>
                <w:sz w:val="24"/>
                <w:szCs w:val="24"/>
                <w:highlight w:val="none"/>
              </w:rPr>
            </w:pPr>
          </w:p>
        </w:tc>
        <w:tc>
          <w:tcPr>
            <w:tcW w:w="1863" w:type="dxa"/>
            <w:vAlign w:val="center"/>
          </w:tcPr>
          <w:p>
            <w:pPr>
              <w:jc w:val="center"/>
              <w:rPr>
                <w:rFonts w:ascii="仿宋_GB2312"/>
                <w:sz w:val="24"/>
                <w:szCs w:val="24"/>
                <w:highlight w:val="none"/>
              </w:rPr>
            </w:pPr>
            <w:r>
              <w:rPr>
                <w:rFonts w:hint="eastAsia" w:ascii="仿宋_GB2312"/>
                <w:sz w:val="24"/>
                <w:szCs w:val="24"/>
                <w:highlight w:val="none"/>
              </w:rPr>
              <w:t>智慧服务基地</w:t>
            </w:r>
          </w:p>
        </w:tc>
        <w:tc>
          <w:tcPr>
            <w:tcW w:w="2030" w:type="dxa"/>
            <w:vAlign w:val="center"/>
          </w:tcPr>
          <w:p>
            <w:pPr>
              <w:rPr>
                <w:rFonts w:ascii="仿宋_GB2312"/>
                <w:sz w:val="24"/>
                <w:szCs w:val="24"/>
                <w:highlight w:val="none"/>
              </w:rPr>
            </w:pPr>
            <w:r>
              <w:rPr>
                <w:rFonts w:hint="eastAsia" w:ascii="仿宋_GB2312"/>
                <w:sz w:val="24"/>
                <w:szCs w:val="24"/>
                <w:highlight w:val="none"/>
              </w:rPr>
              <w:t>政务服务、民生服务、城市管理服务大数据</w:t>
            </w:r>
          </w:p>
        </w:tc>
        <w:tc>
          <w:tcPr>
            <w:tcW w:w="2328" w:type="dxa"/>
            <w:vMerge w:val="continue"/>
            <w:vAlign w:val="center"/>
          </w:tcPr>
          <w:p>
            <w:pPr>
              <w:ind w:firstLine="480" w:firstLineChars="200"/>
              <w:rPr>
                <w:rFonts w:ascii="仿宋_GB2312"/>
                <w:sz w:val="24"/>
                <w:szCs w:val="24"/>
                <w:highlight w:val="none"/>
              </w:rPr>
            </w:pPr>
          </w:p>
        </w:tc>
        <w:tc>
          <w:tcPr>
            <w:tcW w:w="1432" w:type="dxa"/>
            <w:vMerge w:val="continue"/>
            <w:vAlign w:val="center"/>
          </w:tcPr>
          <w:p>
            <w:pPr>
              <w:ind w:firstLine="480" w:firstLineChars="200"/>
              <w:rPr>
                <w:rFonts w:ascii="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9" w:type="dxa"/>
            <w:vMerge w:val="continue"/>
            <w:vAlign w:val="center"/>
          </w:tcPr>
          <w:p>
            <w:pPr>
              <w:ind w:firstLine="480" w:firstLineChars="200"/>
              <w:rPr>
                <w:rFonts w:ascii="仿宋_GB2312"/>
                <w:sz w:val="24"/>
                <w:szCs w:val="24"/>
                <w:highlight w:val="none"/>
              </w:rPr>
            </w:pPr>
          </w:p>
        </w:tc>
        <w:tc>
          <w:tcPr>
            <w:tcW w:w="1863" w:type="dxa"/>
            <w:vAlign w:val="center"/>
          </w:tcPr>
          <w:p>
            <w:pPr>
              <w:jc w:val="center"/>
              <w:rPr>
                <w:rFonts w:ascii="仿宋_GB2312"/>
                <w:sz w:val="24"/>
                <w:szCs w:val="24"/>
                <w:highlight w:val="none"/>
              </w:rPr>
            </w:pPr>
            <w:r>
              <w:rPr>
                <w:rFonts w:hint="eastAsia" w:ascii="仿宋_GB2312"/>
                <w:sz w:val="24"/>
                <w:szCs w:val="24"/>
                <w:highlight w:val="none"/>
              </w:rPr>
              <w:t>产业运营基地</w:t>
            </w:r>
          </w:p>
        </w:tc>
        <w:tc>
          <w:tcPr>
            <w:tcW w:w="2030" w:type="dxa"/>
            <w:vAlign w:val="center"/>
          </w:tcPr>
          <w:p>
            <w:pPr>
              <w:rPr>
                <w:rFonts w:ascii="仿宋_GB2312"/>
                <w:sz w:val="24"/>
                <w:szCs w:val="24"/>
                <w:highlight w:val="none"/>
              </w:rPr>
            </w:pPr>
            <w:r>
              <w:rPr>
                <w:rFonts w:hint="eastAsia" w:ascii="仿宋_GB2312"/>
                <w:sz w:val="24"/>
                <w:szCs w:val="24"/>
                <w:highlight w:val="none"/>
              </w:rPr>
              <w:t>物流大数据、电商大数据、旅游大数据</w:t>
            </w:r>
          </w:p>
        </w:tc>
        <w:tc>
          <w:tcPr>
            <w:tcW w:w="2328" w:type="dxa"/>
            <w:vMerge w:val="continue"/>
            <w:vAlign w:val="center"/>
          </w:tcPr>
          <w:p>
            <w:pPr>
              <w:ind w:firstLine="480" w:firstLineChars="200"/>
              <w:rPr>
                <w:rFonts w:ascii="仿宋_GB2312"/>
                <w:sz w:val="24"/>
                <w:szCs w:val="24"/>
                <w:highlight w:val="none"/>
              </w:rPr>
            </w:pPr>
          </w:p>
        </w:tc>
        <w:tc>
          <w:tcPr>
            <w:tcW w:w="1432" w:type="dxa"/>
            <w:vMerge w:val="continue"/>
            <w:vAlign w:val="center"/>
          </w:tcPr>
          <w:p>
            <w:pPr>
              <w:ind w:firstLine="480" w:firstLineChars="200"/>
              <w:rPr>
                <w:rFonts w:ascii="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9" w:type="dxa"/>
            <w:vAlign w:val="center"/>
          </w:tcPr>
          <w:p>
            <w:pPr>
              <w:jc w:val="center"/>
              <w:rPr>
                <w:rFonts w:ascii="仿宋_GB2312"/>
                <w:sz w:val="24"/>
                <w:szCs w:val="24"/>
                <w:highlight w:val="none"/>
              </w:rPr>
            </w:pPr>
            <w:r>
              <w:rPr>
                <w:rFonts w:hint="eastAsia" w:ascii="仿宋_GB2312"/>
                <w:sz w:val="24"/>
                <w:szCs w:val="24"/>
                <w:highlight w:val="none"/>
              </w:rPr>
              <w:t>二期</w:t>
            </w:r>
          </w:p>
        </w:tc>
        <w:tc>
          <w:tcPr>
            <w:tcW w:w="1863" w:type="dxa"/>
            <w:vAlign w:val="center"/>
          </w:tcPr>
          <w:p>
            <w:pPr>
              <w:jc w:val="center"/>
              <w:rPr>
                <w:rFonts w:ascii="仿宋_GB2312"/>
                <w:sz w:val="24"/>
                <w:szCs w:val="24"/>
                <w:highlight w:val="none"/>
              </w:rPr>
            </w:pPr>
            <w:r>
              <w:rPr>
                <w:rFonts w:hint="eastAsia" w:ascii="仿宋_GB2312"/>
                <w:sz w:val="24"/>
                <w:szCs w:val="24"/>
                <w:highlight w:val="none"/>
              </w:rPr>
              <w:t>产业创新基地</w:t>
            </w:r>
          </w:p>
        </w:tc>
        <w:tc>
          <w:tcPr>
            <w:tcW w:w="2030" w:type="dxa"/>
            <w:vAlign w:val="center"/>
          </w:tcPr>
          <w:p>
            <w:pPr>
              <w:rPr>
                <w:rFonts w:ascii="仿宋_GB2312"/>
                <w:sz w:val="24"/>
                <w:szCs w:val="24"/>
                <w:highlight w:val="none"/>
              </w:rPr>
            </w:pPr>
            <w:r>
              <w:rPr>
                <w:rFonts w:hint="eastAsia" w:ascii="仿宋_GB2312"/>
                <w:sz w:val="24"/>
                <w:szCs w:val="24"/>
                <w:highlight w:val="none"/>
              </w:rPr>
              <w:t>数字文化娱乐、工业互联网</w:t>
            </w:r>
          </w:p>
        </w:tc>
        <w:tc>
          <w:tcPr>
            <w:tcW w:w="2328" w:type="dxa"/>
            <w:vAlign w:val="center"/>
          </w:tcPr>
          <w:p>
            <w:pPr>
              <w:rPr>
                <w:rFonts w:ascii="仿宋_GB2312"/>
                <w:sz w:val="24"/>
                <w:szCs w:val="24"/>
                <w:highlight w:val="none"/>
              </w:rPr>
            </w:pPr>
            <w:r>
              <w:rPr>
                <w:rFonts w:hint="eastAsia" w:ascii="仿宋_GB2312"/>
                <w:sz w:val="24"/>
                <w:szCs w:val="24"/>
                <w:highlight w:val="none"/>
              </w:rPr>
              <w:t>人才平台：产业实训基地</w:t>
            </w:r>
          </w:p>
          <w:p>
            <w:pPr>
              <w:rPr>
                <w:rFonts w:ascii="仿宋_GB2312"/>
                <w:sz w:val="24"/>
                <w:szCs w:val="24"/>
                <w:highlight w:val="none"/>
              </w:rPr>
            </w:pPr>
            <w:r>
              <w:rPr>
                <w:rFonts w:hint="eastAsia" w:ascii="仿宋_GB2312"/>
                <w:sz w:val="24"/>
                <w:szCs w:val="24"/>
                <w:highlight w:val="none"/>
              </w:rPr>
              <w:t>公共服务平台：知识产权中心</w:t>
            </w:r>
          </w:p>
        </w:tc>
        <w:tc>
          <w:tcPr>
            <w:tcW w:w="1432" w:type="dxa"/>
            <w:vAlign w:val="center"/>
          </w:tcPr>
          <w:p>
            <w:pPr>
              <w:rPr>
                <w:rFonts w:ascii="仿宋_GB2312"/>
                <w:sz w:val="24"/>
                <w:szCs w:val="24"/>
                <w:highlight w:val="none"/>
              </w:rPr>
            </w:pPr>
            <w:r>
              <w:rPr>
                <w:rFonts w:hint="eastAsia" w:ascii="仿宋_GB2312"/>
                <w:sz w:val="24"/>
                <w:szCs w:val="24"/>
                <w:highlight w:val="none"/>
              </w:rPr>
              <w:t>商业中心：商务酒店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1" w:hRule="atLeast"/>
        </w:trPr>
        <w:tc>
          <w:tcPr>
            <w:tcW w:w="869" w:type="dxa"/>
            <w:vAlign w:val="center"/>
          </w:tcPr>
          <w:p>
            <w:pPr>
              <w:jc w:val="center"/>
              <w:rPr>
                <w:rFonts w:ascii="仿宋_GB2312"/>
                <w:sz w:val="24"/>
                <w:szCs w:val="24"/>
                <w:highlight w:val="none"/>
              </w:rPr>
            </w:pPr>
            <w:r>
              <w:rPr>
                <w:rFonts w:hint="eastAsia" w:ascii="仿宋_GB2312"/>
                <w:sz w:val="24"/>
                <w:szCs w:val="24"/>
                <w:highlight w:val="none"/>
              </w:rPr>
              <w:t>三期</w:t>
            </w:r>
          </w:p>
        </w:tc>
        <w:tc>
          <w:tcPr>
            <w:tcW w:w="1863" w:type="dxa"/>
            <w:vAlign w:val="center"/>
          </w:tcPr>
          <w:p>
            <w:pPr>
              <w:jc w:val="center"/>
              <w:rPr>
                <w:rFonts w:ascii="仿宋_GB2312"/>
                <w:sz w:val="24"/>
                <w:szCs w:val="24"/>
                <w:highlight w:val="none"/>
              </w:rPr>
            </w:pPr>
            <w:r>
              <w:rPr>
                <w:rFonts w:hint="eastAsia" w:ascii="仿宋_GB2312"/>
                <w:sz w:val="24"/>
                <w:szCs w:val="24"/>
                <w:highlight w:val="none"/>
              </w:rPr>
              <w:t>应用研发基地</w:t>
            </w:r>
          </w:p>
        </w:tc>
        <w:tc>
          <w:tcPr>
            <w:tcW w:w="2030" w:type="dxa"/>
            <w:vAlign w:val="center"/>
          </w:tcPr>
          <w:p>
            <w:pPr>
              <w:rPr>
                <w:rFonts w:ascii="仿宋_GB2312"/>
                <w:sz w:val="24"/>
                <w:szCs w:val="24"/>
                <w:highlight w:val="none"/>
              </w:rPr>
            </w:pPr>
            <w:r>
              <w:rPr>
                <w:rFonts w:hint="eastAsia" w:ascii="仿宋_GB2312"/>
                <w:sz w:val="24"/>
                <w:szCs w:val="24"/>
                <w:highlight w:val="none"/>
              </w:rPr>
              <w:t>人工智能、区块链</w:t>
            </w:r>
          </w:p>
        </w:tc>
        <w:tc>
          <w:tcPr>
            <w:tcW w:w="2328" w:type="dxa"/>
            <w:vAlign w:val="center"/>
          </w:tcPr>
          <w:p>
            <w:pPr>
              <w:rPr>
                <w:rFonts w:ascii="仿宋_GB2312"/>
                <w:sz w:val="24"/>
                <w:szCs w:val="24"/>
                <w:highlight w:val="none"/>
              </w:rPr>
            </w:pPr>
            <w:r>
              <w:rPr>
                <w:rFonts w:hint="eastAsia" w:ascii="仿宋_GB2312"/>
                <w:sz w:val="24"/>
                <w:szCs w:val="24"/>
                <w:highlight w:val="none"/>
              </w:rPr>
              <w:t>公共服务平台：检测认证中心</w:t>
            </w:r>
          </w:p>
        </w:tc>
        <w:tc>
          <w:tcPr>
            <w:tcW w:w="1432" w:type="dxa"/>
            <w:vAlign w:val="center"/>
          </w:tcPr>
          <w:p>
            <w:pPr>
              <w:rPr>
                <w:rFonts w:ascii="仿宋_GB2312"/>
                <w:sz w:val="24"/>
                <w:szCs w:val="24"/>
                <w:highlight w:val="none"/>
              </w:rPr>
            </w:pPr>
            <w:r>
              <w:rPr>
                <w:rFonts w:hint="eastAsia" w:ascii="仿宋_GB2312"/>
                <w:sz w:val="24"/>
                <w:szCs w:val="24"/>
                <w:highlight w:val="none"/>
              </w:rPr>
              <w:t>居住中心：专家公寓</w:t>
            </w:r>
          </w:p>
        </w:tc>
      </w:tr>
    </w:tbl>
    <w:p>
      <w:pPr>
        <w:ind w:firstLine="560" w:firstLineChars="200"/>
        <w:rPr>
          <w:highlight w:val="none"/>
        </w:rPr>
      </w:pPr>
      <w:r>
        <w:rPr>
          <w:rFonts w:hint="eastAsia"/>
          <w:highlight w:val="none"/>
        </w:rPr>
        <w:t>2018-2020年（筑基期），完成智慧小镇一期开发建设，重点建设采集中心、云数据中心、呼叫中心、智慧服务基地、产业运营基地5大产业载体，打造创新平台、金融平台、人才平台和公共服务平台4大平台。</w:t>
      </w:r>
    </w:p>
    <w:p>
      <w:pPr>
        <w:ind w:firstLine="560" w:firstLineChars="200"/>
        <w:rPr>
          <w:highlight w:val="none"/>
        </w:rPr>
      </w:pPr>
      <w:r>
        <w:rPr>
          <w:rFonts w:hint="eastAsia"/>
          <w:highlight w:val="none"/>
        </w:rPr>
        <w:t>2021-2025年（集聚期），完成智慧小镇二期开发建设，重点建设产业创新基地1个产业载体，产业实训基地、知识产权中心2个产业支撑载体，支撑数字文化娱乐、工业互联网创新发展。</w:t>
      </w:r>
    </w:p>
    <w:p>
      <w:pPr>
        <w:ind w:firstLine="560" w:firstLineChars="200"/>
        <w:rPr>
          <w:highlight w:val="none"/>
        </w:rPr>
      </w:pPr>
      <w:r>
        <w:rPr>
          <w:rFonts w:hint="eastAsia"/>
          <w:highlight w:val="none"/>
        </w:rPr>
        <w:t>2026-2030年（飞跃期），完成智慧小镇三期开发建设，重点建设应用研发基地1个产业载体，检测认证中心1个产业支撑载体，支撑人工智能、区块链产业化发展。</w:t>
      </w:r>
    </w:p>
    <w:p>
      <w:pPr>
        <w:pStyle w:val="4"/>
        <w:rPr>
          <w:highlight w:val="none"/>
        </w:rPr>
      </w:pPr>
      <w:bookmarkStart w:id="419" w:name="_Toc528843216"/>
      <w:r>
        <w:rPr>
          <w:rFonts w:hint="eastAsia"/>
          <w:highlight w:val="none"/>
        </w:rPr>
        <w:t>（二）招商策略建议</w:t>
      </w:r>
      <w:bookmarkEnd w:id="419"/>
    </w:p>
    <w:p>
      <w:pPr>
        <w:pStyle w:val="5"/>
        <w:spacing w:line="377" w:lineRule="auto"/>
        <w:rPr>
          <w:rFonts w:ascii="黑体" w:hAnsi="黑体" w:eastAsia="黑体"/>
          <w:highlight w:val="none"/>
        </w:rPr>
      </w:pPr>
      <w:bookmarkStart w:id="420" w:name="_Toc528843217"/>
      <w:r>
        <w:rPr>
          <w:rFonts w:hint="eastAsia" w:ascii="黑体" w:hAnsi="黑体" w:eastAsia="黑体"/>
          <w:highlight w:val="none"/>
        </w:rPr>
        <w:t>1．特有资源招商</w:t>
      </w:r>
      <w:bookmarkEnd w:id="420"/>
    </w:p>
    <w:p>
      <w:pPr>
        <w:ind w:firstLine="560" w:firstLineChars="200"/>
        <w:rPr>
          <w:highlight w:val="none"/>
        </w:rPr>
      </w:pPr>
      <w:r>
        <w:rPr>
          <w:rFonts w:hint="eastAsia"/>
          <w:highlight w:val="none"/>
        </w:rPr>
        <w:t>针对呼叫中心、人工智能、旅游大数据产业以数据资源、人力资源和政策资源等特有资源进行招商。</w:t>
      </w:r>
    </w:p>
    <w:p>
      <w:pPr>
        <w:ind w:firstLine="560" w:firstLineChars="200"/>
        <w:rPr>
          <w:highlight w:val="none"/>
        </w:rPr>
      </w:pPr>
      <w:r>
        <w:rPr>
          <w:rFonts w:hint="eastAsia"/>
          <w:highlight w:val="none"/>
        </w:rPr>
        <w:t>呼叫中心招商策略：依托江西省相对低廉的劳动力成本和相对富足的人力资源进行招商，并辅以一定的政策支持，开展呼叫中心相关产业招商。</w:t>
      </w:r>
    </w:p>
    <w:p>
      <w:pPr>
        <w:ind w:firstLine="560" w:firstLineChars="200"/>
        <w:rPr>
          <w:highlight w:val="none"/>
        </w:rPr>
      </w:pPr>
      <w:r>
        <w:rPr>
          <w:rFonts w:hint="eastAsia"/>
          <w:highlight w:val="none"/>
        </w:rPr>
        <w:t>人工智能应用研发招商策略：以数据资源、政策资源进行招商，并结合本地行业对于智能产品的需求，明确人工智能技术研发的切入点，以行业需求驱动智慧小镇开展人工智能企业的招商工作。</w:t>
      </w:r>
    </w:p>
    <w:p>
      <w:pPr>
        <w:ind w:firstLine="560" w:firstLineChars="200"/>
        <w:rPr>
          <w:highlight w:val="none"/>
        </w:rPr>
      </w:pPr>
      <w:r>
        <w:rPr>
          <w:rFonts w:hint="eastAsia"/>
          <w:highlight w:val="none"/>
        </w:rPr>
        <w:t>旅游大数据招商策略：以数据资源招商，通过开放旅游数据资源吸引旅游文创大数据企业入驻智慧小镇，开发智慧旅游产品和数字文创产品，进而促进宜春旅游产业发展与升级。</w:t>
      </w:r>
    </w:p>
    <w:p>
      <w:pPr>
        <w:pStyle w:val="5"/>
        <w:spacing w:line="377" w:lineRule="auto"/>
        <w:rPr>
          <w:rFonts w:ascii="黑体" w:hAnsi="黑体" w:eastAsia="黑体"/>
          <w:highlight w:val="none"/>
        </w:rPr>
      </w:pPr>
      <w:bookmarkStart w:id="421" w:name="_Toc528843218"/>
      <w:r>
        <w:rPr>
          <w:rFonts w:hint="eastAsia" w:ascii="黑体" w:hAnsi="黑体" w:eastAsia="黑体"/>
          <w:highlight w:val="none"/>
        </w:rPr>
        <w:t>2．市场需求招商</w:t>
      </w:r>
      <w:bookmarkEnd w:id="421"/>
    </w:p>
    <w:p>
      <w:pPr>
        <w:ind w:firstLine="560" w:firstLineChars="200"/>
        <w:rPr>
          <w:highlight w:val="none"/>
        </w:rPr>
      </w:pPr>
      <w:r>
        <w:rPr>
          <w:rFonts w:hint="eastAsia"/>
          <w:highlight w:val="none"/>
        </w:rPr>
        <w:t>针对采集中心、数据中心、工业互联网、政务服务大数据和民生服务大数据等以宜春及赣西地区市场需求进行招商。</w:t>
      </w:r>
    </w:p>
    <w:p>
      <w:pPr>
        <w:ind w:firstLine="560" w:firstLineChars="200"/>
        <w:rPr>
          <w:highlight w:val="none"/>
        </w:rPr>
      </w:pPr>
      <w:r>
        <w:rPr>
          <w:rFonts w:hint="eastAsia"/>
          <w:highlight w:val="none"/>
        </w:rPr>
        <w:t>采集中心招商策略:依托农业、工业、旅游业、智慧城市、政务服务和民生服务等数据采集需求，吸引国内外知名的数据采集企业落户，培育本地互联网数据采集、数据清洗等技术型企业，引导企业形成行业数据采集标准，开发数据采集和清洗产品。</w:t>
      </w:r>
    </w:p>
    <w:p>
      <w:pPr>
        <w:ind w:firstLine="560" w:firstLineChars="200"/>
        <w:rPr>
          <w:highlight w:val="none"/>
        </w:rPr>
      </w:pPr>
      <w:r>
        <w:rPr>
          <w:rFonts w:hint="eastAsia"/>
          <w:highlight w:val="none"/>
        </w:rPr>
        <w:t>数据中心招商策略：以产业数据和公共服务数据存储需求招商，采取政府购买服务方式，</w:t>
      </w:r>
      <w:r>
        <w:rPr>
          <w:rFonts w:hint="eastAsia" w:ascii="Times New Roman" w:hAnsi="Times New Roman" w:cs="Times New Roman"/>
          <w:highlight w:val="none"/>
        </w:rPr>
        <w:t>吸引云计算企业入驻。</w:t>
      </w:r>
      <w:r>
        <w:rPr>
          <w:rFonts w:hint="eastAsia"/>
          <w:highlight w:val="none"/>
        </w:rPr>
        <w:t>充分发挥华为公司在云计算领域的技术实力和资源优势，吸引产业链上下游合作伙伴，拓展产业链。</w:t>
      </w:r>
    </w:p>
    <w:p>
      <w:pPr>
        <w:ind w:firstLine="560" w:firstLineChars="200"/>
        <w:rPr>
          <w:highlight w:val="none"/>
        </w:rPr>
      </w:pPr>
      <w:r>
        <w:rPr>
          <w:rFonts w:hint="eastAsia"/>
          <w:highlight w:val="none"/>
        </w:rPr>
        <w:t>工业互联网招商策略：依托宜春本地及周边地区大型工业企业智能制造转型需求，引入其合作伙伴，培育和促进工业互联网企业在智慧小镇的落地和发展。</w:t>
      </w:r>
    </w:p>
    <w:p>
      <w:pPr>
        <w:ind w:firstLine="560" w:firstLineChars="200"/>
        <w:rPr>
          <w:highlight w:val="none"/>
        </w:rPr>
      </w:pPr>
      <w:r>
        <w:rPr>
          <w:rFonts w:hint="eastAsia"/>
          <w:highlight w:val="none"/>
        </w:rPr>
        <w:t>政务服务大数据和民生服务大数据招商策略：以宜春智慧城市建设、互联网+政务服务体系建设和改善民生服务等需求招商，引进、培育和促进可以提供相关解决方案的企业入驻智慧小镇。</w:t>
      </w:r>
    </w:p>
    <w:p>
      <w:pPr>
        <w:pStyle w:val="5"/>
        <w:spacing w:line="377" w:lineRule="auto"/>
        <w:rPr>
          <w:rFonts w:ascii="黑体" w:hAnsi="黑体" w:eastAsia="黑体"/>
          <w:highlight w:val="none"/>
        </w:rPr>
      </w:pPr>
      <w:bookmarkStart w:id="422" w:name="_Toc528843219"/>
      <w:r>
        <w:rPr>
          <w:rFonts w:hint="eastAsia" w:ascii="黑体" w:hAnsi="黑体" w:eastAsia="黑体"/>
          <w:highlight w:val="none"/>
        </w:rPr>
        <w:t>3．产业链招商</w:t>
      </w:r>
      <w:bookmarkEnd w:id="422"/>
    </w:p>
    <w:p>
      <w:pPr>
        <w:ind w:firstLine="560" w:firstLineChars="200"/>
        <w:rPr>
          <w:highlight w:val="none"/>
        </w:rPr>
      </w:pPr>
      <w:r>
        <w:rPr>
          <w:rFonts w:hint="eastAsia"/>
          <w:highlight w:val="none"/>
        </w:rPr>
        <w:t>针对电商大数据和物流大数据企业，以产业链进行招商，依托本地已有基础和龙头企业开展产业链上下游招商。</w:t>
      </w:r>
    </w:p>
    <w:p>
      <w:pPr>
        <w:ind w:firstLine="560" w:firstLineChars="200"/>
        <w:rPr>
          <w:highlight w:val="none"/>
        </w:rPr>
      </w:pPr>
      <w:r>
        <w:rPr>
          <w:rFonts w:hint="eastAsia"/>
          <w:highlight w:val="none"/>
        </w:rPr>
        <w:t>电商大数据招商策略：围绕绿色有机农产品、中医药、锂电新能源、陶瓷等优势产业，依托龙头企业开展产业链招商。</w:t>
      </w:r>
    </w:p>
    <w:p>
      <w:pPr>
        <w:ind w:firstLine="560" w:firstLineChars="200"/>
        <w:rPr>
          <w:highlight w:val="none"/>
        </w:rPr>
      </w:pPr>
      <w:r>
        <w:rPr>
          <w:rFonts w:hint="eastAsia"/>
          <w:highlight w:val="none"/>
        </w:rPr>
        <w:t>物流大数据招商策略：围绕农业、工业等传统优势产业，以产业链发展为支点，联合龙头企业开展上下游企业、关联企业招商，聚集产业群体，谋求传统优势产业价值链提升。</w:t>
      </w:r>
    </w:p>
    <w:p>
      <w:pPr>
        <w:pStyle w:val="4"/>
        <w:rPr>
          <w:highlight w:val="none"/>
        </w:rPr>
      </w:pPr>
      <w:bookmarkStart w:id="423" w:name="_Toc528843220"/>
      <w:r>
        <w:rPr>
          <w:rFonts w:hint="eastAsia"/>
          <w:highlight w:val="none"/>
        </w:rPr>
        <w:t>（三）产业推进策略</w:t>
      </w:r>
      <w:bookmarkEnd w:id="423"/>
    </w:p>
    <w:p>
      <w:pPr>
        <w:ind w:firstLine="560" w:firstLineChars="200"/>
        <w:rPr>
          <w:rFonts w:ascii="仿宋_GB2312"/>
          <w:highlight w:val="none"/>
        </w:rPr>
      </w:pPr>
      <w:r>
        <w:rPr>
          <w:rFonts w:hint="eastAsia" w:ascii="仿宋_GB2312"/>
          <w:highlight w:val="none"/>
        </w:rPr>
        <w:t>智慧小镇产业发展是智慧小镇建设的最重要任务。综合考虑资源约束、龙头引领和重点突破的原则，建议按照三阶段推进，发展智慧经济特色产业集群，从服务本地到辐射周边进而影响全国。</w:t>
      </w:r>
    </w:p>
    <w:p>
      <w:pPr>
        <w:pStyle w:val="5"/>
        <w:spacing w:line="377" w:lineRule="auto"/>
        <w:rPr>
          <w:rFonts w:ascii="黑体" w:hAnsi="黑体" w:eastAsia="黑体"/>
          <w:highlight w:val="none"/>
        </w:rPr>
      </w:pPr>
      <w:bookmarkStart w:id="424" w:name="_Toc528843221"/>
      <w:r>
        <w:rPr>
          <w:rFonts w:hint="eastAsia" w:ascii="黑体" w:hAnsi="黑体" w:eastAsia="黑体"/>
          <w:highlight w:val="none"/>
        </w:rPr>
        <w:t>1.重点板块推进计划</w:t>
      </w:r>
      <w:bookmarkEnd w:id="424"/>
    </w:p>
    <w:p>
      <w:pPr>
        <w:ind w:firstLine="560" w:firstLineChars="200"/>
        <w:rPr>
          <w:highlight w:val="none"/>
        </w:rPr>
      </w:pPr>
      <w:r>
        <w:rPr>
          <w:rFonts w:hint="eastAsia"/>
          <w:highlight w:val="none"/>
        </w:rPr>
        <w:t>（1）一期</w:t>
      </w:r>
      <w:r>
        <w:rPr>
          <w:rFonts w:hint="eastAsia" w:ascii="仿宋_GB2312"/>
          <w:highlight w:val="none"/>
        </w:rPr>
        <w:t>重点</w:t>
      </w:r>
      <w:r>
        <w:rPr>
          <w:rFonts w:hint="eastAsia"/>
          <w:highlight w:val="none"/>
        </w:rPr>
        <w:t>板块推进计划</w:t>
      </w:r>
    </w:p>
    <w:p>
      <w:pPr>
        <w:pStyle w:val="73"/>
        <w:ind w:left="720" w:firstLine="0" w:firstLineChars="0"/>
        <w:jc w:val="center"/>
        <w:rPr>
          <w:highlight w:val="none"/>
        </w:rPr>
      </w:pPr>
      <w:r>
        <w:rPr>
          <w:rFonts w:hint="eastAsia"/>
          <w:highlight w:val="none"/>
        </w:rPr>
        <w:t>表5.3</w:t>
      </w:r>
      <w:r>
        <w:rPr>
          <w:highlight w:val="none"/>
        </w:rPr>
        <w:t xml:space="preserve"> </w:t>
      </w:r>
      <w:r>
        <w:rPr>
          <w:rFonts w:hint="eastAsia"/>
          <w:highlight w:val="none"/>
        </w:rPr>
        <w:t>一期重点板块推进计划</w:t>
      </w:r>
    </w:p>
    <w:tbl>
      <w:tblPr>
        <w:tblStyle w:val="36"/>
        <w:tblW w:w="8522" w:type="dxa"/>
        <w:tblInd w:w="0" w:type="dxa"/>
        <w:tblLayout w:type="fixed"/>
        <w:tblCellMar>
          <w:top w:w="0" w:type="dxa"/>
          <w:left w:w="108" w:type="dxa"/>
          <w:bottom w:w="0" w:type="dxa"/>
          <w:right w:w="108" w:type="dxa"/>
        </w:tblCellMar>
      </w:tblPr>
      <w:tblGrid>
        <w:gridCol w:w="714"/>
        <w:gridCol w:w="1007"/>
        <w:gridCol w:w="910"/>
        <w:gridCol w:w="1231"/>
        <w:gridCol w:w="4660"/>
      </w:tblGrid>
      <w:tr>
        <w:tblPrEx>
          <w:tblLayout w:type="fixed"/>
          <w:tblCellMar>
            <w:top w:w="0" w:type="dxa"/>
            <w:left w:w="108" w:type="dxa"/>
            <w:bottom w:w="0" w:type="dxa"/>
            <w:right w:w="108" w:type="dxa"/>
          </w:tblCellMar>
        </w:tblPrEx>
        <w:trPr>
          <w:trHeight w:val="400" w:hRule="atLeast"/>
          <w:tblHeader/>
        </w:trPr>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用地</w:t>
            </w:r>
          </w:p>
        </w:tc>
        <w:tc>
          <w:tcPr>
            <w:tcW w:w="100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载体名称</w:t>
            </w:r>
          </w:p>
        </w:tc>
        <w:tc>
          <w:tcPr>
            <w:tcW w:w="91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产业板块</w:t>
            </w:r>
          </w:p>
        </w:tc>
        <w:tc>
          <w:tcPr>
            <w:tcW w:w="123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6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建设内容</w:t>
            </w:r>
          </w:p>
        </w:tc>
      </w:tr>
      <w:tr>
        <w:tblPrEx>
          <w:tblLayout w:type="fixed"/>
          <w:tblCellMar>
            <w:top w:w="0" w:type="dxa"/>
            <w:left w:w="108" w:type="dxa"/>
            <w:bottom w:w="0" w:type="dxa"/>
            <w:right w:w="108" w:type="dxa"/>
          </w:tblCellMar>
        </w:tblPrEx>
        <w:trPr>
          <w:trHeight w:val="1206" w:hRule="atLeast"/>
        </w:trPr>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一期</w:t>
            </w:r>
          </w:p>
        </w:tc>
        <w:tc>
          <w:tcPr>
            <w:tcW w:w="1007"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数据采集基地（采集中心）</w:t>
            </w: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采集中心</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数据资源采集和清洗中心建设项目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以采集政务、民生和城市管理等公共数据为突破口建设大数据采集和清洗中心，引进和培育国内领先大数据采集和清洗企业，为智慧城市、行业应用提供基础的数据采集和数据清洗服务，引进培育物联网数据采集企业，推进工业互联网数据采集，打造兼具国际标准和本地特色的数据采集和清洗中心。</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w:t>
            </w: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云数据中心建设项目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机架建设规模达到4000架，PUE值优于1.4，采用云计算技术对数据中心资源进行“云化”管理，实现数据中心资源按需购买的云计算服务模式，承载宜春市政务、工业、旅游、教育、医疗、电子商务等政务、民生和行业应用。</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w:t>
            </w: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呼叫中心建设项目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建设6000坐席规模的多媒体呼叫中心，引入呼叫中心运营企业开展托管型呼叫中心服务和外包型呼叫中心服务，推动呼叫中心服务外包向专业化、规模化、品牌化发展，并通过大数据分析技术，进行精准营销和客户服务，把智慧小镇打造为全国有重要影响力的呼叫中心产业基地。</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智慧服务基地（运营中心）</w:t>
            </w: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政务服务大数据</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智慧政务建设产业化项目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引进政务服务领域国内领先的信息技术提供商落户智慧小镇，以本地政务服务建设为依托，重点开展政务服务线上服务应用，打造智慧政务服务解决方案。</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民生服务大数据</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智慧民生服务建设产业化项目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引进民生服务领域国内领先的信息技术提供商落户智慧小镇，以本地民生服务建设为依托，重点开展医疗健康、文体教育、交通出行服务等领域的大数据应用研究，打造智慧民生服务解决方案。</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城市管理大数据</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智慧城市管理建设产业化项目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城市管理领域国内领先的信息技术提供商落户智慧小镇，以本地智慧城市管理建设为依托，重点开展智慧公共安全基础设施建设、智慧城市运营管理中心建设以及智慧城市治理应用研究，打造智慧城市管理解决方案。</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产业运营基地（应用中心）</w:t>
            </w: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物流大数据</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物流大数据建设产业化项目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入物流大数据企业，建设物流大数据平台，提供物流公共信息管理、物流业务信息交换和物流企业信息处理一站式服务，发展“无车承运”，为宜春市的实体产业园区和物流企业提供双向服务，打造物流产业生态体系。</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电商大数据</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电商大数据建设产业化项目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入电商大数据企业，建设电商平台，重点发展基于传统优势产业的供应链电子商务，积极探索电商大数据新业态。推进电商大数据挖掘分析，逐步向制造企业提供科技服务，帮助制造企业进行柔性化生产、个性化定制，进而改变制造业生产模式，促进传统产业转型升级。</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旅游大数据分析应用</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推进全市旅游企业实现景区、酒店、交通等涉旅数据和资源整合，满足旅游管理、营销、服务等旅游大数据的专项数据需求，推动涉旅数据在旅游行业的综合分析与应用。</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旅游大数据服务应用</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面向游客、涉旅企业和其他产业提供多样化的旅游服务，政府引导企业建设运营“一部手机畅游宜春”应用，实现旅游供需的统一对接，促进旅游消费，推动宜春旅游产业发展。</w:t>
            </w:r>
          </w:p>
        </w:tc>
      </w:tr>
      <w:tr>
        <w:tblPrEx>
          <w:tblLayout w:type="fixed"/>
          <w:tblCellMar>
            <w:top w:w="0" w:type="dxa"/>
            <w:left w:w="108" w:type="dxa"/>
            <w:bottom w:w="0" w:type="dxa"/>
            <w:right w:w="108" w:type="dxa"/>
          </w:tblCellMar>
        </w:tblPrEx>
        <w:trPr>
          <w:trHeight w:val="174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旅游大数据营销应用</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推进智慧小镇入驻企业与景区、旅行社等合作，整合旅游数据资源开展大数据精准营销应用；将VR全景体验、360°环幕投影技术等融入景区旅游的展示与营销，提升游客旅游体验，并改变传统景区与旅行社的营销方式。</w:t>
            </w:r>
          </w:p>
        </w:tc>
      </w:tr>
      <w:tr>
        <w:tblPrEx>
          <w:tblLayout w:type="fixed"/>
          <w:tblCellMar>
            <w:top w:w="0" w:type="dxa"/>
            <w:left w:w="108" w:type="dxa"/>
            <w:bottom w:w="0" w:type="dxa"/>
            <w:right w:w="108" w:type="dxa"/>
          </w:tblCellMar>
        </w:tblPrEx>
        <w:trPr>
          <w:trHeight w:val="1206"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旅游大数据监管应用</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推进智慧小镇入驻企业与旅游监管部门开展合作，基于景区景点视频、票务、停车、手机通讯等实时数据采集分析，开展游客流量流向预测分析，实现对旅游城市、景区、景点游客流量的监控、预测和预警，为旅游监管部门提供旅游监管服务，提升旅游公共突发事件预防预警、快速响应和及时处理能力。</w:t>
            </w:r>
          </w:p>
        </w:tc>
      </w:tr>
    </w:tbl>
    <w:p>
      <w:pPr>
        <w:ind w:firstLine="560" w:firstLineChars="200"/>
        <w:rPr>
          <w:highlight w:val="none"/>
        </w:rPr>
      </w:pPr>
      <w:r>
        <w:rPr>
          <w:rFonts w:hint="eastAsia"/>
          <w:highlight w:val="none"/>
        </w:rPr>
        <w:t>（2）二期</w:t>
      </w:r>
      <w:r>
        <w:rPr>
          <w:rFonts w:hint="eastAsia" w:ascii="仿宋_GB2312"/>
          <w:highlight w:val="none"/>
        </w:rPr>
        <w:t>重点</w:t>
      </w:r>
      <w:r>
        <w:rPr>
          <w:rFonts w:hint="eastAsia"/>
          <w:highlight w:val="none"/>
        </w:rPr>
        <w:t>板块推进计划</w:t>
      </w:r>
    </w:p>
    <w:p>
      <w:pPr>
        <w:pStyle w:val="73"/>
        <w:ind w:left="720" w:firstLine="0" w:firstLineChars="0"/>
        <w:jc w:val="center"/>
        <w:rPr>
          <w:highlight w:val="none"/>
        </w:rPr>
      </w:pPr>
      <w:r>
        <w:rPr>
          <w:rFonts w:hint="eastAsia"/>
          <w:highlight w:val="none"/>
        </w:rPr>
        <w:t>表5.4</w:t>
      </w:r>
      <w:r>
        <w:rPr>
          <w:highlight w:val="none"/>
        </w:rPr>
        <w:t xml:space="preserve"> </w:t>
      </w:r>
      <w:r>
        <w:rPr>
          <w:rFonts w:hint="eastAsia"/>
          <w:highlight w:val="none"/>
        </w:rPr>
        <w:t>二期重点板块推进计划</w:t>
      </w:r>
    </w:p>
    <w:tbl>
      <w:tblPr>
        <w:tblStyle w:val="36"/>
        <w:tblW w:w="8522" w:type="dxa"/>
        <w:tblInd w:w="0" w:type="dxa"/>
        <w:tblLayout w:type="fixed"/>
        <w:tblCellMar>
          <w:top w:w="0" w:type="dxa"/>
          <w:left w:w="108" w:type="dxa"/>
          <w:bottom w:w="0" w:type="dxa"/>
          <w:right w:w="108" w:type="dxa"/>
        </w:tblCellMar>
      </w:tblPr>
      <w:tblGrid>
        <w:gridCol w:w="551"/>
        <w:gridCol w:w="753"/>
        <w:gridCol w:w="1075"/>
        <w:gridCol w:w="1023"/>
        <w:gridCol w:w="5120"/>
      </w:tblGrid>
      <w:tr>
        <w:tblPrEx>
          <w:tblLayout w:type="fixed"/>
          <w:tblCellMar>
            <w:top w:w="0" w:type="dxa"/>
            <w:left w:w="108" w:type="dxa"/>
            <w:bottom w:w="0" w:type="dxa"/>
            <w:right w:w="108" w:type="dxa"/>
          </w:tblCellMar>
        </w:tblPrEx>
        <w:trPr>
          <w:trHeight w:val="400" w:hRule="atLeast"/>
          <w:tblHeader/>
        </w:trPr>
        <w:tc>
          <w:tcPr>
            <w:tcW w:w="5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用地</w:t>
            </w:r>
          </w:p>
        </w:tc>
        <w:tc>
          <w:tcPr>
            <w:tcW w:w="75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载体名称</w:t>
            </w:r>
          </w:p>
        </w:tc>
        <w:tc>
          <w:tcPr>
            <w:tcW w:w="107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产业板块</w:t>
            </w:r>
          </w:p>
        </w:tc>
        <w:tc>
          <w:tcPr>
            <w:tcW w:w="102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512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建设内容</w:t>
            </w:r>
          </w:p>
        </w:tc>
      </w:tr>
      <w:tr>
        <w:tblPrEx>
          <w:tblLayout w:type="fixed"/>
          <w:tblCellMar>
            <w:top w:w="0" w:type="dxa"/>
            <w:left w:w="108" w:type="dxa"/>
            <w:bottom w:w="0" w:type="dxa"/>
            <w:right w:w="108" w:type="dxa"/>
          </w:tblCellMar>
        </w:tblPrEx>
        <w:trPr>
          <w:trHeight w:val="1680" w:hRule="atLeast"/>
        </w:trPr>
        <w:tc>
          <w:tcPr>
            <w:tcW w:w="55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二期</w:t>
            </w:r>
          </w:p>
        </w:tc>
        <w:tc>
          <w:tcPr>
            <w:tcW w:w="75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产业创新基地</w:t>
            </w: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数字文化娱乐</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数字文化娱乐</w:t>
            </w:r>
            <w:r>
              <w:rPr>
                <w:rFonts w:hint="eastAsia" w:ascii="仿宋_GB2312" w:hAnsi="等线" w:cs="宋体"/>
                <w:color w:val="000000"/>
                <w:kern w:val="0"/>
                <w:sz w:val="24"/>
                <w:szCs w:val="24"/>
                <w:highlight w:val="none"/>
              </w:rPr>
              <w:t>基础平台建设项目</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积极引入一批动漫、网游、电竞等数字文化娱乐企业，支持企业充分利用智慧小镇数据中心云资源及空间资源，搭建动漫渲染平台、网游开发测试平台、电竞直播等基础平台，推进电竞场地配套设施建设，有效承载企业动漫渲染、网游开发测试、电竞直播等业务开展。</w:t>
            </w:r>
          </w:p>
        </w:tc>
      </w:tr>
      <w:tr>
        <w:tblPrEx>
          <w:tblLayout w:type="fixed"/>
          <w:tblCellMar>
            <w:top w:w="0" w:type="dxa"/>
            <w:left w:w="108" w:type="dxa"/>
            <w:bottom w:w="0" w:type="dxa"/>
            <w:right w:w="108" w:type="dxa"/>
          </w:tblCellMar>
        </w:tblPrEx>
        <w:trPr>
          <w:trHeight w:val="3060"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数字文化娱乐</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数字文化娱乐</w:t>
            </w:r>
            <w:r>
              <w:rPr>
                <w:rFonts w:hint="eastAsia" w:ascii="仿宋_GB2312" w:hAnsi="等线" w:cs="宋体"/>
                <w:color w:val="000000"/>
                <w:kern w:val="0"/>
                <w:sz w:val="24"/>
                <w:szCs w:val="24"/>
                <w:highlight w:val="none"/>
              </w:rPr>
              <w:t>产业集群建设项目</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推进动漫、网络游戏、网络文学、网络视频、网络音乐、网络直播等知名企业的接洽及引进，并以智慧小镇为载体，推进数字文化娱乐企业集聚。鼓励入驻企业结合本地文化特色，开发具有地方特色的高价值IP产品，推进数字文化娱乐相关企业协同发展，逐步形成数字文化娱乐大数据产业集群。</w:t>
            </w:r>
          </w:p>
        </w:tc>
      </w:tr>
      <w:tr>
        <w:tblPrEx>
          <w:tblLayout w:type="fixed"/>
          <w:tblCellMar>
            <w:top w:w="0" w:type="dxa"/>
            <w:left w:w="108" w:type="dxa"/>
            <w:bottom w:w="0" w:type="dxa"/>
            <w:right w:w="108" w:type="dxa"/>
          </w:tblCellMar>
        </w:tblPrEx>
        <w:trPr>
          <w:trHeight w:val="923"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数字文化娱乐</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数字文化娱乐</w:t>
            </w:r>
            <w:r>
              <w:rPr>
                <w:rFonts w:hint="eastAsia" w:ascii="仿宋_GB2312" w:hAnsi="等线" w:cs="宋体"/>
                <w:color w:val="000000"/>
                <w:kern w:val="0"/>
                <w:sz w:val="24"/>
                <w:szCs w:val="24"/>
                <w:highlight w:val="none"/>
              </w:rPr>
              <w:t>人才培育基地项目</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引进国内知名数字文化娱乐培训企业或机构入驻，加强与智慧小镇相关企业的合作，联合本地高校及职业院校构建</w:t>
            </w:r>
            <w:r>
              <w:rPr>
                <w:rFonts w:ascii="仿宋_GB2312" w:hAnsi="等线" w:cs="宋体"/>
                <w:color w:val="000000"/>
                <w:kern w:val="0"/>
                <w:sz w:val="24"/>
                <w:szCs w:val="24"/>
                <w:highlight w:val="none"/>
              </w:rPr>
              <w:t>数字文化娱乐</w:t>
            </w:r>
            <w:r>
              <w:rPr>
                <w:rFonts w:hint="eastAsia" w:ascii="仿宋_GB2312" w:hAnsi="等线" w:cs="宋体"/>
                <w:color w:val="000000"/>
                <w:kern w:val="0"/>
                <w:sz w:val="24"/>
                <w:szCs w:val="24"/>
                <w:highlight w:val="none"/>
              </w:rPr>
              <w:t>人才培育基地，推进数字文化娱乐人才培训产业发展，面向本地及全省提供</w:t>
            </w:r>
            <w:r>
              <w:rPr>
                <w:rFonts w:ascii="仿宋_GB2312" w:hAnsi="等线" w:cs="宋体"/>
                <w:color w:val="000000"/>
                <w:kern w:val="0"/>
                <w:sz w:val="24"/>
                <w:szCs w:val="24"/>
                <w:highlight w:val="none"/>
              </w:rPr>
              <w:t>相关</w:t>
            </w:r>
            <w:r>
              <w:rPr>
                <w:rFonts w:hint="eastAsia" w:ascii="仿宋_GB2312" w:hAnsi="等线" w:cs="宋体"/>
                <w:color w:val="000000"/>
                <w:kern w:val="0"/>
                <w:sz w:val="24"/>
                <w:szCs w:val="24"/>
                <w:highlight w:val="none"/>
              </w:rPr>
              <w:t>人才培训服务。</w:t>
            </w:r>
          </w:p>
        </w:tc>
      </w:tr>
      <w:tr>
        <w:tblPrEx>
          <w:tblLayout w:type="fixed"/>
          <w:tblCellMar>
            <w:top w:w="0" w:type="dxa"/>
            <w:left w:w="108" w:type="dxa"/>
            <w:bottom w:w="0" w:type="dxa"/>
            <w:right w:w="108" w:type="dxa"/>
          </w:tblCellMar>
        </w:tblPrEx>
        <w:trPr>
          <w:trHeight w:val="3188"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工业互联网标识解析行业节点建设</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联合标识解析机构部署工业互联网标识解析行业节点，面向中医药、绿色有机食品、动力电池和烟花爆竹企业和公众提供标识注册、标识解析服务，探索建立工业互联网标识解析体系。以工业互联网标识解析行业节点为依托，推动中医药、绿色有机食品、动力电池和烟花爆竹的重点行业企业与ICT企业联合开展产品追溯、供应链管理、产品全生命周期管理和智能生产等工业互联网创新应用。</w:t>
            </w:r>
          </w:p>
        </w:tc>
      </w:tr>
      <w:tr>
        <w:tblPrEx>
          <w:tblLayout w:type="fixed"/>
          <w:tblCellMar>
            <w:top w:w="0" w:type="dxa"/>
            <w:left w:w="108" w:type="dxa"/>
            <w:bottom w:w="0" w:type="dxa"/>
            <w:right w:w="108" w:type="dxa"/>
          </w:tblCellMar>
        </w:tblPrEx>
        <w:trPr>
          <w:trHeight w:val="1628"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工业互联网产学研交流平台建设</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联合工业互联网产业联盟，组织召开工业互联网峰会和工业互联网论坛，搭建产学研交流合作平台，提高本地工业企业对工业互联网、工业大数据等方面的认识，促进本地传统工业企业转型升级。</w:t>
            </w:r>
          </w:p>
        </w:tc>
      </w:tr>
      <w:tr>
        <w:tblPrEx>
          <w:tblLayout w:type="fixed"/>
          <w:tblCellMar>
            <w:top w:w="0" w:type="dxa"/>
            <w:left w:w="108" w:type="dxa"/>
            <w:bottom w:w="0" w:type="dxa"/>
            <w:right w:w="108" w:type="dxa"/>
          </w:tblCellMar>
        </w:tblPrEx>
        <w:trPr>
          <w:trHeight w:val="1515"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工业互联网联合实验室建设</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协同工业互联网研究机构、高校、制造企业打造工业互联网联合实验室。围绕共性技术研发搭建国内领先的研究和试验验证环境、生产模拟环境，重点围绕工业互联网平台、工业智能、工业安全等工业互联网核心技术开展研究、试验、评估。</w:t>
            </w:r>
          </w:p>
        </w:tc>
      </w:tr>
      <w:tr>
        <w:tblPrEx>
          <w:tblLayout w:type="fixed"/>
          <w:tblCellMar>
            <w:top w:w="0" w:type="dxa"/>
            <w:left w:w="108" w:type="dxa"/>
            <w:bottom w:w="0" w:type="dxa"/>
            <w:right w:w="108" w:type="dxa"/>
          </w:tblCellMar>
        </w:tblPrEx>
        <w:trPr>
          <w:trHeight w:val="923"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工业互联网创新体验中心建设</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搭建公共展示环境，邀请工业互联网产业联盟的测试床、优秀应用案例等项目入驻，组织展示宜春市工业互联网相关试点示范项目和典型案例，以实景展示面向制造业转型升级的工业互联网解决方案。</w:t>
            </w:r>
          </w:p>
        </w:tc>
      </w:tr>
      <w:tr>
        <w:tblPrEx>
          <w:tblLayout w:type="fixed"/>
          <w:tblCellMar>
            <w:top w:w="0" w:type="dxa"/>
            <w:left w:w="108" w:type="dxa"/>
            <w:bottom w:w="0" w:type="dxa"/>
            <w:right w:w="108" w:type="dxa"/>
          </w:tblCellMar>
        </w:tblPrEx>
        <w:trPr>
          <w:trHeight w:val="923"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智能制造和工业互联网人才培养基地建设</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建设智能制造和工业互联网人才培养基地，开展自动控制应用技术、机器人技术与应用、物联网及云技术、制造执行及信息系统、AR/VR技术及应用、仿真技术应用和3D打印技术应用等方面的培训和实训，为智能制造和工业互联网发展培养实施人才。</w:t>
            </w:r>
          </w:p>
        </w:tc>
      </w:tr>
      <w:tr>
        <w:tblPrEx>
          <w:tblLayout w:type="fixed"/>
          <w:tblCellMar>
            <w:top w:w="0" w:type="dxa"/>
            <w:left w:w="108" w:type="dxa"/>
            <w:bottom w:w="0" w:type="dxa"/>
            <w:right w:w="108" w:type="dxa"/>
          </w:tblCellMar>
        </w:tblPrEx>
        <w:trPr>
          <w:trHeight w:val="2318"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工业互联网平台建设</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积极与已经获得工业互联网产业联盟可信服务评估认证的工业互联网平台企业接洽，助力宜春工业企业数字化、网络化、智能化改造，推动宜春工业企业信息基础设施与业务应用系统“上云上平台”。</w:t>
            </w:r>
          </w:p>
        </w:tc>
      </w:tr>
      <w:tr>
        <w:tblPrEx>
          <w:tblLayout w:type="fixed"/>
          <w:tblCellMar>
            <w:top w:w="0" w:type="dxa"/>
            <w:left w:w="108" w:type="dxa"/>
            <w:bottom w:w="0" w:type="dxa"/>
            <w:right w:w="108" w:type="dxa"/>
          </w:tblCellMar>
        </w:tblPrEx>
        <w:trPr>
          <w:trHeight w:val="2123" w:hRule="atLeast"/>
        </w:trPr>
        <w:tc>
          <w:tcPr>
            <w:tcW w:w="55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753"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7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w:t>
            </w:r>
          </w:p>
        </w:tc>
        <w:tc>
          <w:tcPr>
            <w:tcW w:w="1023"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工业互联网及工业大数据产业化项目</w:t>
            </w:r>
          </w:p>
        </w:tc>
        <w:tc>
          <w:tcPr>
            <w:tcW w:w="512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依托工业互联网企业和工业互联网平台开展工业大数据应用研发创新，围绕中医药、锂电新能源和建材等优势产业，打造虚拟设计与虚拟制造、生产工艺与流程优化、设备预测维护、智能生产排程、产品质量优化、协同研发与制造、供应链配送体系优化和用户需求挖掘等工业大数据应用，推进制造业服务化转型，推动工业互联网及工业大数据产业化。</w:t>
            </w:r>
          </w:p>
        </w:tc>
      </w:tr>
    </w:tbl>
    <w:p>
      <w:pPr>
        <w:ind w:firstLine="560" w:firstLineChars="200"/>
        <w:rPr>
          <w:highlight w:val="none"/>
        </w:rPr>
      </w:pPr>
      <w:r>
        <w:rPr>
          <w:rFonts w:hint="eastAsia"/>
          <w:highlight w:val="none"/>
        </w:rPr>
        <w:t>（3）</w:t>
      </w:r>
      <w:r>
        <w:rPr>
          <w:highlight w:val="none"/>
        </w:rPr>
        <w:t>三</w:t>
      </w:r>
      <w:r>
        <w:rPr>
          <w:rFonts w:hint="eastAsia"/>
          <w:highlight w:val="none"/>
        </w:rPr>
        <w:t>期</w:t>
      </w:r>
      <w:r>
        <w:rPr>
          <w:rFonts w:hint="eastAsia" w:ascii="仿宋_GB2312"/>
          <w:highlight w:val="none"/>
        </w:rPr>
        <w:t>重点</w:t>
      </w:r>
      <w:r>
        <w:rPr>
          <w:rFonts w:hint="eastAsia"/>
          <w:highlight w:val="none"/>
        </w:rPr>
        <w:t>板块推进计划</w:t>
      </w:r>
    </w:p>
    <w:p>
      <w:pPr>
        <w:pStyle w:val="73"/>
        <w:ind w:left="720" w:firstLine="0" w:firstLineChars="0"/>
        <w:jc w:val="center"/>
        <w:rPr>
          <w:highlight w:val="none"/>
        </w:rPr>
      </w:pPr>
      <w:r>
        <w:rPr>
          <w:rFonts w:hint="eastAsia"/>
          <w:highlight w:val="none"/>
        </w:rPr>
        <w:t>表5.5</w:t>
      </w:r>
      <w:r>
        <w:rPr>
          <w:highlight w:val="none"/>
        </w:rPr>
        <w:t xml:space="preserve"> </w:t>
      </w:r>
      <w:r>
        <w:rPr>
          <w:rFonts w:hint="eastAsia"/>
          <w:highlight w:val="none"/>
        </w:rPr>
        <w:t>三期重点板块推进计划</w:t>
      </w:r>
    </w:p>
    <w:tbl>
      <w:tblPr>
        <w:tblStyle w:val="36"/>
        <w:tblW w:w="8522" w:type="dxa"/>
        <w:tblInd w:w="0" w:type="dxa"/>
        <w:tblLayout w:type="fixed"/>
        <w:tblCellMar>
          <w:top w:w="0" w:type="dxa"/>
          <w:left w:w="108" w:type="dxa"/>
          <w:bottom w:w="0" w:type="dxa"/>
          <w:right w:w="108" w:type="dxa"/>
        </w:tblCellMar>
      </w:tblPr>
      <w:tblGrid>
        <w:gridCol w:w="714"/>
        <w:gridCol w:w="1007"/>
        <w:gridCol w:w="910"/>
        <w:gridCol w:w="1231"/>
        <w:gridCol w:w="4660"/>
      </w:tblGrid>
      <w:tr>
        <w:tblPrEx>
          <w:tblLayout w:type="fixed"/>
          <w:tblCellMar>
            <w:top w:w="0" w:type="dxa"/>
            <w:left w:w="108" w:type="dxa"/>
            <w:bottom w:w="0" w:type="dxa"/>
            <w:right w:w="108" w:type="dxa"/>
          </w:tblCellMar>
        </w:tblPrEx>
        <w:trPr>
          <w:trHeight w:val="400" w:hRule="atLeast"/>
          <w:tblHeader/>
        </w:trPr>
        <w:tc>
          <w:tcPr>
            <w:tcW w:w="7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用地</w:t>
            </w:r>
          </w:p>
        </w:tc>
        <w:tc>
          <w:tcPr>
            <w:tcW w:w="100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载体名称</w:t>
            </w:r>
          </w:p>
        </w:tc>
        <w:tc>
          <w:tcPr>
            <w:tcW w:w="91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产业板块</w:t>
            </w:r>
          </w:p>
        </w:tc>
        <w:tc>
          <w:tcPr>
            <w:tcW w:w="123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6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建设内容</w:t>
            </w:r>
          </w:p>
        </w:tc>
      </w:tr>
      <w:tr>
        <w:tblPrEx>
          <w:tblLayout w:type="fixed"/>
          <w:tblCellMar>
            <w:top w:w="0" w:type="dxa"/>
            <w:left w:w="108" w:type="dxa"/>
            <w:bottom w:w="0" w:type="dxa"/>
            <w:right w:w="108" w:type="dxa"/>
          </w:tblCellMar>
        </w:tblPrEx>
        <w:trPr>
          <w:trHeight w:val="1478" w:hRule="atLeast"/>
        </w:trPr>
        <w:tc>
          <w:tcPr>
            <w:tcW w:w="714"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三期</w:t>
            </w:r>
          </w:p>
        </w:tc>
        <w:tc>
          <w:tcPr>
            <w:tcW w:w="100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应用研发基地</w:t>
            </w: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智慧小镇人工智能技术与应用研究联合实验室</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以本地高校与江西省内重点高校为依托，重点面向宜春市传统工业、锂电新能源、中医药、大健康等行业应用需求，与本地企业共同建设数据资源库以及大数据平台，并开展人工智能安全研究。</w:t>
            </w:r>
          </w:p>
        </w:tc>
      </w:tr>
      <w:tr>
        <w:tblPrEx>
          <w:tblLayout w:type="fixed"/>
          <w:tblCellMar>
            <w:top w:w="0" w:type="dxa"/>
            <w:left w:w="108" w:type="dxa"/>
            <w:bottom w:w="0" w:type="dxa"/>
            <w:right w:w="108" w:type="dxa"/>
          </w:tblCellMar>
        </w:tblPrEx>
        <w:trPr>
          <w:trHeight w:val="630"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智能网联车试验场</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建立智能网联汽车测试场地，为相关企业提供基础测试环境。</w:t>
            </w:r>
          </w:p>
        </w:tc>
      </w:tr>
      <w:tr>
        <w:tblPrEx>
          <w:tblLayout w:type="fixed"/>
          <w:tblCellMar>
            <w:top w:w="0" w:type="dxa"/>
            <w:left w:w="108" w:type="dxa"/>
            <w:bottom w:w="0" w:type="dxa"/>
            <w:right w:w="108" w:type="dxa"/>
          </w:tblCellMar>
        </w:tblPrEx>
        <w:trPr>
          <w:trHeight w:val="803"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智能硬件创新工场</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依托第三方服务平台提供智能硬件开发测试平台环境，为机器人研发企业提供服务支持。</w:t>
            </w:r>
          </w:p>
        </w:tc>
      </w:tr>
      <w:tr>
        <w:tblPrEx>
          <w:tblLayout w:type="fixed"/>
          <w:tblCellMar>
            <w:top w:w="0" w:type="dxa"/>
            <w:left w:w="108" w:type="dxa"/>
            <w:bottom w:w="0" w:type="dxa"/>
            <w:right w:w="108" w:type="dxa"/>
          </w:tblCellMar>
        </w:tblPrEx>
        <w:trPr>
          <w:trHeight w:val="885"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人工智能创新大赛</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定期举办以智能网联汽车、智能服务机器人为主的人工智能技术产品创新大赛。</w:t>
            </w:r>
          </w:p>
        </w:tc>
      </w:tr>
      <w:tr>
        <w:tblPrEx>
          <w:tblLayout w:type="fixed"/>
          <w:tblCellMar>
            <w:top w:w="0" w:type="dxa"/>
            <w:left w:w="108" w:type="dxa"/>
            <w:bottom w:w="0" w:type="dxa"/>
            <w:right w:w="108" w:type="dxa"/>
          </w:tblCellMar>
        </w:tblPrEx>
        <w:trPr>
          <w:trHeight w:val="885"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人工智能应用示范</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依托引进培育的人工智能企业，在宜春市打造智能网联汽车、智能服务机器人应用示范点，推进技术产品成果转化。</w:t>
            </w:r>
          </w:p>
        </w:tc>
      </w:tr>
      <w:tr>
        <w:tblPrEx>
          <w:tblLayout w:type="fixed"/>
          <w:tblCellMar>
            <w:top w:w="0" w:type="dxa"/>
            <w:left w:w="108" w:type="dxa"/>
            <w:bottom w:w="0" w:type="dxa"/>
            <w:right w:w="108" w:type="dxa"/>
          </w:tblCellMar>
        </w:tblPrEx>
        <w:trPr>
          <w:trHeight w:val="885"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人工智能算法训练平台</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以公安、政法等智慧城市应用场景为切入点，开展数据采集和数据标注，不断积累数据，打造人工智能训练数据库。建设人工智能算法训练平台，面向全国提供算法训练数据和服务，提高产业吸引力。</w:t>
            </w:r>
          </w:p>
        </w:tc>
      </w:tr>
      <w:tr>
        <w:tblPrEx>
          <w:tblLayout w:type="fixed"/>
          <w:tblCellMar>
            <w:top w:w="0" w:type="dxa"/>
            <w:left w:w="108" w:type="dxa"/>
            <w:bottom w:w="0" w:type="dxa"/>
            <w:right w:w="108" w:type="dxa"/>
          </w:tblCellMar>
        </w:tblPrEx>
        <w:trPr>
          <w:trHeight w:val="1583"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区块链</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公共服务区块链应用创新示范项目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在智慧小镇及宜阳新区的公共服务范畴，重点针对数据共享开放、精准扶贫、数字档案管理、身份认证、土地房屋登记等细分领域，与国内领先的区块链技术服务商及解决方案提供商合作，打造2-3个基于区块链的省级公共服务创新示范应用。</w:t>
            </w:r>
          </w:p>
        </w:tc>
      </w:tr>
      <w:tr>
        <w:tblPrEx>
          <w:tblLayout w:type="fixed"/>
          <w:tblCellMar>
            <w:top w:w="0" w:type="dxa"/>
            <w:left w:w="108" w:type="dxa"/>
            <w:bottom w:w="0" w:type="dxa"/>
            <w:right w:w="108" w:type="dxa"/>
          </w:tblCellMar>
        </w:tblPrEx>
        <w:trPr>
          <w:trHeight w:val="1178"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区块链</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金融区块链应用创新示范项目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重点围绕智慧小镇中小企业融资问题，以金融征信为核心，开展供应链金融、保险、企业资产管理等业务的区块链应用尝试，打造2-3个基于区块链的省级金融领域创新示范应用。</w:t>
            </w:r>
          </w:p>
        </w:tc>
      </w:tr>
      <w:tr>
        <w:tblPrEx>
          <w:tblLayout w:type="fixed"/>
          <w:tblCellMar>
            <w:top w:w="0" w:type="dxa"/>
            <w:left w:w="108" w:type="dxa"/>
            <w:bottom w:w="0" w:type="dxa"/>
            <w:right w:w="108" w:type="dxa"/>
          </w:tblCellMar>
        </w:tblPrEx>
        <w:trPr>
          <w:trHeight w:val="1583" w:hRule="atLeast"/>
        </w:trPr>
        <w:tc>
          <w:tcPr>
            <w:tcW w:w="714"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007"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910"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区块链</w:t>
            </w:r>
          </w:p>
        </w:tc>
        <w:tc>
          <w:tcPr>
            <w:tcW w:w="1231"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溯源区块链应用创新示范项目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基于宜春市农业、中医药业优势，撮合本地企业与区块链企业开展区块链溯源应用研究，着重发展特色农产品、中医药的区块链溯源应用，打造2-3个基于区块链的省级溯源领域创新示范应用。</w:t>
            </w:r>
          </w:p>
        </w:tc>
      </w:tr>
    </w:tbl>
    <w:p>
      <w:pPr>
        <w:rPr>
          <w:highlight w:val="none"/>
        </w:rPr>
      </w:pPr>
    </w:p>
    <w:p>
      <w:pPr>
        <w:pStyle w:val="5"/>
        <w:spacing w:line="377" w:lineRule="auto"/>
        <w:rPr>
          <w:rFonts w:ascii="黑体" w:hAnsi="黑体" w:eastAsia="黑体"/>
          <w:highlight w:val="none"/>
        </w:rPr>
      </w:pPr>
      <w:bookmarkStart w:id="425" w:name="_Toc528843222"/>
      <w:r>
        <w:rPr>
          <w:rFonts w:hint="eastAsia" w:ascii="黑体" w:hAnsi="黑体" w:eastAsia="黑体"/>
          <w:highlight w:val="none"/>
        </w:rPr>
        <w:t>2.重点项目推进计划</w:t>
      </w:r>
      <w:bookmarkEnd w:id="425"/>
    </w:p>
    <w:p>
      <w:pPr>
        <w:ind w:firstLine="560" w:firstLineChars="200"/>
        <w:rPr>
          <w:highlight w:val="none"/>
        </w:rPr>
      </w:pPr>
      <w:r>
        <w:rPr>
          <w:rFonts w:hint="eastAsia"/>
          <w:highlight w:val="none"/>
        </w:rPr>
        <w:t>（1）</w:t>
      </w:r>
      <w:r>
        <w:rPr>
          <w:highlight w:val="none"/>
        </w:rPr>
        <w:t>2018-2020</w:t>
      </w:r>
      <w:r>
        <w:rPr>
          <w:rFonts w:hint="eastAsia"/>
          <w:highlight w:val="none"/>
        </w:rPr>
        <w:t>年筑基期推进计划</w:t>
      </w:r>
    </w:p>
    <w:p>
      <w:pPr>
        <w:ind w:firstLine="560" w:firstLineChars="200"/>
        <w:rPr>
          <w:highlight w:val="none"/>
        </w:rPr>
      </w:pPr>
      <w:r>
        <w:rPr>
          <w:rFonts w:hint="eastAsia"/>
          <w:highlight w:val="none"/>
        </w:rPr>
        <w:t>重点开展数据资源中心、智慧服务基地和产业运营基地建设，发展采集中心、数据中心、呼叫中心、政务服务大数据、民生服务大数据、城市管理大数据、物流大数据、电商大数据和旅游大数据等板块。</w:t>
      </w:r>
    </w:p>
    <w:p>
      <w:pPr>
        <w:ind w:firstLine="560" w:firstLineChars="200"/>
        <w:jc w:val="center"/>
        <w:rPr>
          <w:highlight w:val="none"/>
        </w:rPr>
      </w:pPr>
      <w:r>
        <w:rPr>
          <w:rFonts w:hint="eastAsia"/>
          <w:highlight w:val="none"/>
        </w:rPr>
        <w:t>表5.6 2018年重点任务推进计划</w:t>
      </w:r>
    </w:p>
    <w:tbl>
      <w:tblPr>
        <w:tblStyle w:val="36"/>
        <w:tblW w:w="8522" w:type="dxa"/>
        <w:tblInd w:w="0" w:type="dxa"/>
        <w:tblLayout w:type="fixed"/>
        <w:tblCellMar>
          <w:top w:w="0" w:type="dxa"/>
          <w:left w:w="108" w:type="dxa"/>
          <w:bottom w:w="0" w:type="dxa"/>
          <w:right w:w="108" w:type="dxa"/>
        </w:tblCellMar>
      </w:tblPr>
      <w:tblGrid>
        <w:gridCol w:w="469"/>
        <w:gridCol w:w="1624"/>
        <w:gridCol w:w="4309"/>
        <w:gridCol w:w="2120"/>
      </w:tblGrid>
      <w:tr>
        <w:tblPrEx>
          <w:tblLayout w:type="fixed"/>
          <w:tblCellMar>
            <w:top w:w="0" w:type="dxa"/>
            <w:left w:w="108" w:type="dxa"/>
            <w:bottom w:w="0" w:type="dxa"/>
            <w:right w:w="108" w:type="dxa"/>
          </w:tblCellMar>
        </w:tblPrEx>
        <w:trPr>
          <w:trHeight w:val="315" w:hRule="atLeast"/>
          <w:tblHeader/>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数据资源采集和清洗中心建设项目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规划建设采集中心办公楼宇，完成基础土建。</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宜阳新区管委会等</w:t>
            </w:r>
          </w:p>
        </w:tc>
      </w:tr>
      <w:tr>
        <w:tblPrEx>
          <w:tblLayout w:type="fixed"/>
          <w:tblCellMar>
            <w:top w:w="0" w:type="dxa"/>
            <w:left w:w="108" w:type="dxa"/>
            <w:bottom w:w="0" w:type="dxa"/>
            <w:right w:w="108" w:type="dxa"/>
          </w:tblCellMar>
        </w:tblPrEx>
        <w:trPr>
          <w:trHeight w:val="4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云数据中心建设项目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建设可承载4000机柜规模的数据中心机楼，完成基础土建。</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宜阳新区管委会、市大数据局等</w:t>
            </w:r>
          </w:p>
        </w:tc>
      </w:tr>
      <w:tr>
        <w:tblPrEx>
          <w:tblLayout w:type="fixed"/>
          <w:tblCellMar>
            <w:top w:w="0" w:type="dxa"/>
            <w:left w:w="108" w:type="dxa"/>
            <w:bottom w:w="0" w:type="dxa"/>
            <w:right w:w="108" w:type="dxa"/>
          </w:tblCellMar>
        </w:tblPrEx>
        <w:trPr>
          <w:trHeight w:val="487"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呼叫中心建设项目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设计建设6000坐席的呼叫中心用房，完成基础施工。</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宜阳新区管委会等</w:t>
            </w:r>
          </w:p>
        </w:tc>
      </w:tr>
      <w:tr>
        <w:tblPrEx>
          <w:tblLayout w:type="fixed"/>
          <w:tblCellMar>
            <w:top w:w="0" w:type="dxa"/>
            <w:left w:w="108" w:type="dxa"/>
            <w:bottom w:w="0" w:type="dxa"/>
            <w:right w:w="108" w:type="dxa"/>
          </w:tblCellMar>
        </w:tblPrEx>
        <w:trPr>
          <w:trHeight w:val="1055"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智慧政务建设产业化项目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建设宜春市统一的大数据平台，包括数据共享交换平台、数据统一开放平台以及基础数据资源库。</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市大数据局、宜阳新区管委会等</w:t>
            </w:r>
          </w:p>
        </w:tc>
      </w:tr>
      <w:tr>
        <w:tblPrEx>
          <w:tblLayout w:type="fixed"/>
          <w:tblCellMar>
            <w:top w:w="0" w:type="dxa"/>
            <w:left w:w="108" w:type="dxa"/>
            <w:bottom w:w="0" w:type="dxa"/>
            <w:right w:w="108" w:type="dxa"/>
          </w:tblCellMar>
        </w:tblPrEx>
        <w:trPr>
          <w:trHeight w:val="771"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5</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智慧民生服务建设产业化项目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建立医疗健康、文体教育、交通出行等民生服务领域的主题数资源库。</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市大数据局、市卫健委、市文广新旅局、市教体局、市交通运输局、宜阳新区管委会等</w:t>
            </w:r>
          </w:p>
        </w:tc>
      </w:tr>
      <w:tr>
        <w:tblPrEx>
          <w:tblLayout w:type="fixed"/>
          <w:tblCellMar>
            <w:top w:w="0" w:type="dxa"/>
            <w:left w:w="108" w:type="dxa"/>
            <w:bottom w:w="0" w:type="dxa"/>
            <w:right w:w="108" w:type="dxa"/>
          </w:tblCellMar>
        </w:tblPrEx>
        <w:trPr>
          <w:trHeight w:val="98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6</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智慧城市管理建设产业化项目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基于“云上宜春”智慧城市顶层规划设计，针对本地有基础的领域进行重点研究设计。</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市大数据局、市行政执法局、市生态局、市应急管理局、市公安局、</w:t>
            </w:r>
            <w:r>
              <w:rPr>
                <w:rFonts w:hint="eastAsia"/>
                <w:sz w:val="24"/>
                <w:highlight w:val="none"/>
              </w:rPr>
              <w:t>市交通运输局、</w:t>
            </w:r>
            <w:r>
              <w:rPr>
                <w:rFonts w:hint="eastAsia" w:ascii="仿宋_GB2312" w:hAnsi="等线" w:cs="宋体"/>
                <w:color w:val="000000"/>
                <w:kern w:val="0"/>
                <w:sz w:val="24"/>
                <w:szCs w:val="24"/>
                <w:highlight w:val="none"/>
              </w:rPr>
              <w:t>宜阳新区管委会等</w:t>
            </w:r>
          </w:p>
        </w:tc>
      </w:tr>
      <w:tr>
        <w:tblPrEx>
          <w:tblLayout w:type="fixed"/>
          <w:tblCellMar>
            <w:top w:w="0" w:type="dxa"/>
            <w:left w:w="108" w:type="dxa"/>
            <w:bottom w:w="0" w:type="dxa"/>
            <w:right w:w="108" w:type="dxa"/>
          </w:tblCellMar>
        </w:tblPrEx>
        <w:trPr>
          <w:trHeight w:val="254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7</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物流大数据建设产业化项目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建设物流大数据产业发展中心的楼宇配套；2、与高安、丰城、宜春经开区、樟树医药化工、万载烟花鞭炮等物流产业集群就物流大数据平台建设形成战略合作意向，引入运力资源；3、与袁州工业园区、万载工业园、樟树工业园等实体产业园区形成战略合作，引入物流需求。</w:t>
            </w:r>
          </w:p>
        </w:tc>
        <w:tc>
          <w:tcPr>
            <w:tcW w:w="2120" w:type="dxa"/>
            <w:tcBorders>
              <w:top w:val="nil"/>
              <w:left w:val="nil"/>
              <w:bottom w:val="single" w:color="auto" w:sz="4" w:space="0"/>
              <w:right w:val="single" w:color="auto" w:sz="4" w:space="0"/>
            </w:tcBorders>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宜阳新区管委会、市商务局、市邮政管理局等</w:t>
            </w:r>
          </w:p>
        </w:tc>
      </w:tr>
      <w:tr>
        <w:tblPrEx>
          <w:tblLayout w:type="fixed"/>
          <w:tblCellMar>
            <w:top w:w="0" w:type="dxa"/>
            <w:left w:w="108" w:type="dxa"/>
            <w:bottom w:w="0" w:type="dxa"/>
            <w:right w:w="108" w:type="dxa"/>
          </w:tblCellMar>
        </w:tblPrEx>
        <w:trPr>
          <w:trHeight w:val="1384"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8</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电商大数据建设产业化项目</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1、建设电商大数据产业发展中心的楼宇配套；2、引入中国网库等垂直电商企业，围绕本地资源禀赋，发展宜春特色产业供应链电商。</w:t>
            </w:r>
          </w:p>
        </w:tc>
        <w:tc>
          <w:tcPr>
            <w:tcW w:w="2120" w:type="dxa"/>
            <w:tcBorders>
              <w:top w:val="nil"/>
              <w:left w:val="nil"/>
              <w:bottom w:val="single" w:color="auto" w:sz="4" w:space="0"/>
              <w:right w:val="single" w:color="auto" w:sz="4" w:space="0"/>
            </w:tcBorders>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宜阳新区管委会、市商务局等</w:t>
            </w:r>
          </w:p>
        </w:tc>
      </w:tr>
      <w:tr>
        <w:tblPrEx>
          <w:tblLayout w:type="fixed"/>
          <w:tblCellMar>
            <w:top w:w="0" w:type="dxa"/>
            <w:left w:w="108" w:type="dxa"/>
            <w:bottom w:w="0" w:type="dxa"/>
            <w:right w:w="108" w:type="dxa"/>
          </w:tblCellMar>
        </w:tblPrEx>
        <w:trPr>
          <w:trHeight w:val="1122"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9</w:t>
            </w:r>
          </w:p>
        </w:tc>
        <w:tc>
          <w:tcPr>
            <w:tcW w:w="16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旅游大数据分析应用</w:t>
            </w:r>
          </w:p>
        </w:tc>
        <w:tc>
          <w:tcPr>
            <w:tcW w:w="430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开展全市旅游大数据纵向归集和贯通，全面整合全市旅游数据资源，实现景区、旅行社、酒店、民宿等涉旅行业的数据对接。</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市文广新旅局、市公安局、市交通运输局等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10</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旅游大数据服务应用</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引进杭州途记科技、马上游科技、必爱旅行网等旅游大数据企业，推进本地旅游资源与旅游服务企业对接。</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市文广新旅局、各县市区等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11</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工业互联网标识解析行业节点建设</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联合标识解析机构部署工业互联网标识解析行业节点，面向中医药、绿色有机食品、动力电池和烟花爆竹企业和公众提供标识注册、标识解析服务，探索建立工业互联网标识解析体系。</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宜阳新区管委会、市工信局等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12</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智慧小镇人工智能技术与应用研究联合实验室</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联合高校、研究机构、企业成立技术与应用联合实验室。</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市科技局、市工信局、宜春学院等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13</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智能网联车试验场</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规划设计智能网联车试验场，探索建设运营模式。</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宜阳新区管委会、市工信局、市交通运输局、市商务局等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14</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智能硬件创新工场</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引入硬件开发测试服务平台。</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宜阳新区管委会、市工信局、市商务局等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15</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人工智能算法训练平台</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以公安、政法等智慧城市应用场景为切入点，开展数据采集和数据标注，不断积累数据，打造人工智能训练数据库。</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宜阳新区管委会、市工信局、市商务局等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16</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人工智能创新大赛</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联合企业、研究机构，明确人工智能创新大赛定位和机制。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市工信局、市委宣传部等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17</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人工智能应用示范</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引进培育人工智能企业，支持智能网联汽车、智能机器人设计研发。</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市工信局、市商务局等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18</w:t>
            </w:r>
          </w:p>
        </w:tc>
        <w:tc>
          <w:tcPr>
            <w:tcW w:w="16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公共服务区块链应用创新示范项目</w:t>
            </w:r>
          </w:p>
        </w:tc>
        <w:tc>
          <w:tcPr>
            <w:tcW w:w="430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积极对接国内知名区块链科研机构与企业，探索在智慧小镇建立区块链应用研究中心，并建立区块链公共服务应用研究实验室，开展公共服务领域区块链应用的切入点研究。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宜阳新区管委会、市科技局、市商务局、市大数据局等</w:t>
            </w:r>
          </w:p>
        </w:tc>
      </w:tr>
    </w:tbl>
    <w:p>
      <w:pPr>
        <w:ind w:firstLine="560" w:firstLineChars="200"/>
        <w:jc w:val="center"/>
        <w:rPr>
          <w:highlight w:val="none"/>
        </w:rPr>
      </w:pPr>
    </w:p>
    <w:p>
      <w:pPr>
        <w:ind w:firstLine="560" w:firstLineChars="200"/>
        <w:jc w:val="center"/>
        <w:rPr>
          <w:highlight w:val="none"/>
        </w:rPr>
      </w:pPr>
      <w:r>
        <w:rPr>
          <w:rFonts w:hint="eastAsia"/>
          <w:highlight w:val="none"/>
        </w:rPr>
        <w:t>表5.7 2019年重点任务推进计划</w:t>
      </w:r>
    </w:p>
    <w:tbl>
      <w:tblPr>
        <w:tblStyle w:val="36"/>
        <w:tblW w:w="8522" w:type="dxa"/>
        <w:tblInd w:w="0" w:type="dxa"/>
        <w:tblLayout w:type="fixed"/>
        <w:tblCellMar>
          <w:top w:w="0" w:type="dxa"/>
          <w:left w:w="108" w:type="dxa"/>
          <w:bottom w:w="0" w:type="dxa"/>
          <w:right w:w="108" w:type="dxa"/>
        </w:tblCellMar>
      </w:tblPr>
      <w:tblGrid>
        <w:gridCol w:w="592"/>
        <w:gridCol w:w="1812"/>
        <w:gridCol w:w="4039"/>
        <w:gridCol w:w="2079"/>
      </w:tblGrid>
      <w:tr>
        <w:tblPrEx>
          <w:tblLayout w:type="fixed"/>
          <w:tblCellMar>
            <w:top w:w="0" w:type="dxa"/>
            <w:left w:w="108" w:type="dxa"/>
            <w:bottom w:w="0" w:type="dxa"/>
            <w:right w:w="108" w:type="dxa"/>
          </w:tblCellMar>
        </w:tblPrEx>
        <w:trPr>
          <w:trHeight w:val="315" w:hRule="atLeast"/>
          <w:tblHeader/>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数据资源采集和清洗中心建设项目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sz w:val="24"/>
                <w:highlight w:val="none"/>
              </w:rPr>
              <w:t>引入飞达电气、国信优易等物联网数据采集和数据资源富足企业入驻，完成水、电、网络等配套建设和办公场地装修。</w:t>
            </w:r>
          </w:p>
        </w:tc>
        <w:tc>
          <w:tcPr>
            <w:tcW w:w="2079" w:type="dxa"/>
            <w:tcBorders>
              <w:top w:val="nil"/>
              <w:left w:val="nil"/>
              <w:bottom w:val="single" w:color="auto" w:sz="4" w:space="0"/>
              <w:right w:val="single" w:color="auto" w:sz="4" w:space="0"/>
            </w:tcBorders>
            <w:vAlign w:val="center"/>
          </w:tcPr>
          <w:p>
            <w:pPr>
              <w:widowControl/>
              <w:spacing w:line="240" w:lineRule="auto"/>
              <w:jc w:val="left"/>
              <w:rPr>
                <w:sz w:val="24"/>
                <w:highlight w:val="none"/>
              </w:rPr>
            </w:pPr>
            <w:r>
              <w:rPr>
                <w:rFonts w:hint="eastAsia"/>
                <w:sz w:val="24"/>
                <w:highlight w:val="none"/>
              </w:rPr>
              <w:t>宜阳新区管委会、市工信局、市商务局等</w:t>
            </w:r>
          </w:p>
        </w:tc>
      </w:tr>
      <w:tr>
        <w:tblPrEx>
          <w:tblLayout w:type="fixed"/>
          <w:tblCellMar>
            <w:top w:w="0" w:type="dxa"/>
            <w:left w:w="108" w:type="dxa"/>
            <w:bottom w:w="0" w:type="dxa"/>
            <w:right w:w="108" w:type="dxa"/>
          </w:tblCellMar>
        </w:tblPrEx>
        <w:trPr>
          <w:trHeight w:val="40"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云数据中心建设项目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sz w:val="24"/>
                <w:highlight w:val="none"/>
              </w:rPr>
              <w:t>按照每机柜8KW、国际T3等级标准，完成数据中心电力、网络等配套建设。</w:t>
            </w:r>
          </w:p>
        </w:tc>
        <w:tc>
          <w:tcPr>
            <w:tcW w:w="2079" w:type="dxa"/>
            <w:tcBorders>
              <w:top w:val="nil"/>
              <w:left w:val="nil"/>
              <w:bottom w:val="single" w:color="auto" w:sz="4" w:space="0"/>
              <w:right w:val="single" w:color="auto" w:sz="4" w:space="0"/>
            </w:tcBorders>
            <w:vAlign w:val="center"/>
          </w:tcPr>
          <w:p>
            <w:pPr>
              <w:widowControl/>
              <w:spacing w:line="240" w:lineRule="auto"/>
              <w:jc w:val="left"/>
              <w:rPr>
                <w:sz w:val="24"/>
                <w:highlight w:val="none"/>
              </w:rPr>
            </w:pPr>
            <w:r>
              <w:rPr>
                <w:rFonts w:hint="eastAsia"/>
                <w:sz w:val="24"/>
                <w:highlight w:val="none"/>
              </w:rPr>
              <w:t>宜阳新区管委会、市工信局、市大数据局等</w:t>
            </w:r>
          </w:p>
        </w:tc>
      </w:tr>
      <w:tr>
        <w:tblPrEx>
          <w:tblLayout w:type="fixed"/>
          <w:tblCellMar>
            <w:top w:w="0" w:type="dxa"/>
            <w:left w:w="108" w:type="dxa"/>
            <w:bottom w:w="0" w:type="dxa"/>
            <w:right w:w="108" w:type="dxa"/>
          </w:tblCellMar>
        </w:tblPrEx>
        <w:trPr>
          <w:trHeight w:val="487"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呼叫中心建设项目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sz w:val="24"/>
                <w:highlight w:val="none"/>
              </w:rPr>
              <w:t>开展呼叫中心用房主体工程及配套设施建设。</w:t>
            </w:r>
          </w:p>
        </w:tc>
        <w:tc>
          <w:tcPr>
            <w:tcW w:w="2079" w:type="dxa"/>
            <w:tcBorders>
              <w:top w:val="nil"/>
              <w:left w:val="nil"/>
              <w:bottom w:val="single" w:color="auto" w:sz="4" w:space="0"/>
              <w:right w:val="single" w:color="auto" w:sz="4" w:space="0"/>
            </w:tcBorders>
            <w:vAlign w:val="center"/>
          </w:tcPr>
          <w:p>
            <w:pPr>
              <w:widowControl/>
              <w:spacing w:line="240" w:lineRule="auto"/>
              <w:jc w:val="left"/>
              <w:rPr>
                <w:sz w:val="24"/>
                <w:highlight w:val="none"/>
              </w:rPr>
            </w:pPr>
            <w:r>
              <w:rPr>
                <w:rFonts w:hint="eastAsia"/>
                <w:sz w:val="24"/>
                <w:highlight w:val="none"/>
              </w:rPr>
              <w:t>宜阳新区管委会等</w:t>
            </w:r>
          </w:p>
        </w:tc>
      </w:tr>
      <w:tr>
        <w:tblPrEx>
          <w:tblLayout w:type="fixed"/>
          <w:tblCellMar>
            <w:top w:w="0" w:type="dxa"/>
            <w:left w:w="108" w:type="dxa"/>
            <w:bottom w:w="0" w:type="dxa"/>
            <w:right w:w="108" w:type="dxa"/>
          </w:tblCellMar>
        </w:tblPrEx>
        <w:trPr>
          <w:trHeight w:val="1055"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智慧政务建设产业化项目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sz w:val="24"/>
                <w:highlight w:val="none"/>
              </w:rPr>
              <w:t>逐步实现宜春市政务数据资源的汇聚流通，联合外部企业开展智慧政务服务项目合作，提升本地政务服务智慧化水平。</w:t>
            </w:r>
          </w:p>
        </w:tc>
        <w:tc>
          <w:tcPr>
            <w:tcW w:w="2079" w:type="dxa"/>
            <w:tcBorders>
              <w:top w:val="nil"/>
              <w:left w:val="nil"/>
              <w:bottom w:val="single" w:color="auto" w:sz="4" w:space="0"/>
              <w:right w:val="single" w:color="auto" w:sz="4" w:space="0"/>
            </w:tcBorders>
          </w:tcPr>
          <w:p>
            <w:pPr>
              <w:widowControl/>
              <w:spacing w:line="240" w:lineRule="auto"/>
              <w:jc w:val="left"/>
              <w:rPr>
                <w:sz w:val="24"/>
                <w:highlight w:val="none"/>
              </w:rPr>
            </w:pPr>
            <w:r>
              <w:rPr>
                <w:rFonts w:hint="eastAsia" w:ascii="仿宋_GB2312" w:hAnsi="等线" w:cs="宋体"/>
                <w:color w:val="000000"/>
                <w:kern w:val="0"/>
                <w:sz w:val="24"/>
                <w:szCs w:val="24"/>
                <w:highlight w:val="none"/>
              </w:rPr>
              <w:t>市大数据局、市行政审批局、宜阳新区管委会等</w:t>
            </w:r>
          </w:p>
        </w:tc>
      </w:tr>
      <w:tr>
        <w:tblPrEx>
          <w:tblLayout w:type="fixed"/>
          <w:tblCellMar>
            <w:top w:w="0" w:type="dxa"/>
            <w:left w:w="108" w:type="dxa"/>
            <w:bottom w:w="0" w:type="dxa"/>
            <w:right w:w="108" w:type="dxa"/>
          </w:tblCellMar>
        </w:tblPrEx>
        <w:trPr>
          <w:trHeight w:val="771"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5</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智慧民生服务建设产业化项目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sz w:val="24"/>
                <w:highlight w:val="none"/>
              </w:rPr>
              <w:t>基于大数据平台完善民生服务主题资源库，逐步联合外部企业开展智慧民生服务项目合作，提供本地民生服务智慧化水平。</w:t>
            </w:r>
          </w:p>
        </w:tc>
        <w:tc>
          <w:tcPr>
            <w:tcW w:w="2079" w:type="dxa"/>
            <w:tcBorders>
              <w:top w:val="nil"/>
              <w:left w:val="nil"/>
              <w:bottom w:val="single" w:color="auto" w:sz="4" w:space="0"/>
              <w:right w:val="single" w:color="auto" w:sz="4" w:space="0"/>
            </w:tcBorders>
          </w:tcPr>
          <w:p>
            <w:pPr>
              <w:widowControl/>
              <w:spacing w:line="240" w:lineRule="auto"/>
              <w:jc w:val="left"/>
              <w:rPr>
                <w:sz w:val="24"/>
                <w:highlight w:val="none"/>
              </w:rPr>
            </w:pPr>
            <w:r>
              <w:rPr>
                <w:rFonts w:hint="eastAsia" w:ascii="仿宋_GB2312" w:hAnsi="等线" w:cs="宋体"/>
                <w:color w:val="000000"/>
                <w:kern w:val="0"/>
                <w:sz w:val="24"/>
                <w:szCs w:val="24"/>
                <w:highlight w:val="none"/>
              </w:rPr>
              <w:t>市大数据局、市商务局、市卫健委、市文广新旅局、市教体局、市交通运输局、宜阳新区管委会等</w:t>
            </w:r>
          </w:p>
        </w:tc>
      </w:tr>
      <w:tr>
        <w:tblPrEx>
          <w:tblLayout w:type="fixed"/>
          <w:tblCellMar>
            <w:top w:w="0" w:type="dxa"/>
            <w:left w:w="108" w:type="dxa"/>
            <w:bottom w:w="0" w:type="dxa"/>
            <w:right w:w="108" w:type="dxa"/>
          </w:tblCellMar>
        </w:tblPrEx>
        <w:trPr>
          <w:trHeight w:val="980"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6</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智慧城市管理建设产业化项目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sz w:val="24"/>
                <w:highlight w:val="none"/>
              </w:rPr>
              <w:t>开展宜春市安防、监控、交通、市政管理等领域的智慧化基础设施建设，在智慧小镇建设宜春指挥城市指挥运营中心。</w:t>
            </w:r>
          </w:p>
        </w:tc>
        <w:tc>
          <w:tcPr>
            <w:tcW w:w="2079" w:type="dxa"/>
            <w:tcBorders>
              <w:top w:val="nil"/>
              <w:left w:val="nil"/>
              <w:bottom w:val="single" w:color="auto" w:sz="4" w:space="0"/>
              <w:right w:val="single" w:color="auto" w:sz="4" w:space="0"/>
            </w:tcBorders>
          </w:tcPr>
          <w:p>
            <w:pPr>
              <w:widowControl/>
              <w:spacing w:line="240" w:lineRule="auto"/>
              <w:jc w:val="left"/>
              <w:rPr>
                <w:sz w:val="24"/>
                <w:highlight w:val="none"/>
              </w:rPr>
            </w:pPr>
            <w:r>
              <w:rPr>
                <w:rFonts w:hint="eastAsia" w:ascii="仿宋_GB2312" w:hAnsi="等线" w:cs="宋体"/>
                <w:color w:val="000000"/>
                <w:kern w:val="0"/>
                <w:sz w:val="24"/>
                <w:szCs w:val="24"/>
                <w:highlight w:val="none"/>
              </w:rPr>
              <w:t>市大数据局、宜阳新区管委会、市行政执法局、市生态局、市应急管理局、市公安局、市交通运输局等</w:t>
            </w:r>
          </w:p>
        </w:tc>
      </w:tr>
      <w:tr>
        <w:tblPrEx>
          <w:tblLayout w:type="fixed"/>
          <w:tblCellMar>
            <w:top w:w="0" w:type="dxa"/>
            <w:left w:w="108" w:type="dxa"/>
            <w:bottom w:w="0" w:type="dxa"/>
            <w:right w:w="108" w:type="dxa"/>
          </w:tblCellMar>
        </w:tblPrEx>
        <w:trPr>
          <w:trHeight w:val="913"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7</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物流大数据建设产业化项目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积极引入菜鸟、货车帮等物流平台企业，建设物流大数据平台；2、协助引入的平台企业，对接本地物流服务资源以及传统产业园区，发展“无车承运”；3、加强政府合作，为园区企业引入政府公共资源，整合运输、海关、税务、工商、检验检疫等相关数据，将平台打造成集物流公共信息管理、物流业务信息交换和物流企业信息处理为一体的一站式服务平台。</w:t>
            </w:r>
          </w:p>
        </w:tc>
        <w:tc>
          <w:tcPr>
            <w:tcW w:w="2079"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宜阳新区管委会、市商务局、</w:t>
            </w:r>
          </w:p>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市邮政管理局等</w:t>
            </w:r>
          </w:p>
        </w:tc>
      </w:tr>
      <w:tr>
        <w:tblPrEx>
          <w:tblLayout w:type="fixed"/>
          <w:tblCellMar>
            <w:top w:w="0" w:type="dxa"/>
            <w:left w:w="108" w:type="dxa"/>
            <w:bottom w:w="0" w:type="dxa"/>
            <w:right w:w="108" w:type="dxa"/>
          </w:tblCellMar>
        </w:tblPrEx>
        <w:trPr>
          <w:trHeight w:val="1384"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8</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电商大数据建设产业化项目</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对接宜春经开区、袁州工业园区、万载工业园、樟树工业园等实体产业园区，达成战略合作意向，为智慧小镇的电商平台引入资源。</w:t>
            </w:r>
          </w:p>
        </w:tc>
        <w:tc>
          <w:tcPr>
            <w:tcW w:w="2079" w:type="dxa"/>
            <w:tcBorders>
              <w:top w:val="nil"/>
              <w:left w:val="nil"/>
              <w:bottom w:val="single" w:color="auto" w:sz="4" w:space="0"/>
              <w:right w:val="single" w:color="auto" w:sz="4" w:space="0"/>
            </w:tcBorders>
            <w:vAlign w:val="center"/>
          </w:tcPr>
          <w:p>
            <w:pPr>
              <w:widowControl/>
              <w:spacing w:line="240" w:lineRule="auto"/>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宜阳新区管委会、市商务局等</w:t>
            </w:r>
          </w:p>
        </w:tc>
      </w:tr>
      <w:tr>
        <w:tblPrEx>
          <w:tblLayout w:type="fixed"/>
          <w:tblCellMar>
            <w:top w:w="0" w:type="dxa"/>
            <w:left w:w="108" w:type="dxa"/>
            <w:bottom w:w="0" w:type="dxa"/>
            <w:right w:w="108" w:type="dxa"/>
          </w:tblCellMar>
        </w:tblPrEx>
        <w:trPr>
          <w:trHeight w:val="1122" w:hRule="atLeast"/>
        </w:trPr>
        <w:tc>
          <w:tcPr>
            <w:tcW w:w="592"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9</w:t>
            </w:r>
          </w:p>
        </w:tc>
        <w:tc>
          <w:tcPr>
            <w:tcW w:w="1812"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旅游大数据分析应用</w:t>
            </w:r>
          </w:p>
        </w:tc>
        <w:tc>
          <w:tcPr>
            <w:tcW w:w="403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推进跨部门涉旅数据的横向融合和开放共享，与公安、气象、交通等部门合作，建立跨部门、跨地域的旅游信息资源目录体系和交换体系。</w:t>
            </w:r>
          </w:p>
        </w:tc>
        <w:tc>
          <w:tcPr>
            <w:tcW w:w="2079"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市文广新旅局、市公安局、市气象局、市交通运输局等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10</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旅游大数据服务应用</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开放涉旅数据和资源，引导企业开发“一部手机畅游宜春”应用，为游客和涉旅企业提供信息对接服务。</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市文广新旅局、各区县等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11</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旅游大数据营销应用</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引进和培育旅游大数据企业，整合全域范围内的旅游营销资源和本地旅游资源提供大数据精准营销服务。</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市文广新旅局、各区县等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2</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ascii="仿宋_GB2312" w:hAnsi="等线"/>
                <w:color w:val="000000"/>
                <w:sz w:val="24"/>
                <w:highlight w:val="none"/>
              </w:rPr>
              <w:t>数字文化娱乐</w:t>
            </w:r>
            <w:r>
              <w:rPr>
                <w:rFonts w:hint="eastAsia" w:ascii="仿宋_GB2312" w:hAnsi="等线"/>
                <w:color w:val="000000"/>
                <w:sz w:val="24"/>
                <w:highlight w:val="none"/>
              </w:rPr>
              <w:t>产业集群建设项目</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引入一批数字文化娱乐类初创企业，提供创新孵化环境。</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宜阳新区管委会、市工信局、市文广新旅局等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3</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工业互联网标识解析行业节点建设</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以工业互联网标识解析行业节点为依托，推动中医药、绿色有机食品、动力电池和烟花爆竹的重点行业企业与ICT企业联合开展产品追溯、供应链管理、产品全生命周期管理和智能生产等工业互联网创新应用。</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14</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智慧小镇人工智能技术与应用研究联合实验室</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吸引行业企业等加入实验室，开展技术与应用研究。</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市科技局、市工信局、市商务局等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15</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智能网联车试验场</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联合企业、研究机构投资建设测试环境，引入智能网联汽车相关企业参与测试。</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市工信局、市交通运输局、市商务局等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16</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智能硬件创新工场</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鼓励机器人研发企业基于平台开展研发测试业务。</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市工信局、市商务局等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17</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s="宋体"/>
                <w:color w:val="000000"/>
                <w:kern w:val="0"/>
                <w:sz w:val="24"/>
                <w:szCs w:val="24"/>
                <w:highlight w:val="none"/>
              </w:rPr>
              <w:t>人工智能算法训练平台</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建设人工智能算法训练平台，面向全国提供算法训练数据和服务，提高产业吸引力。</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宜阳新区管委会、市工信局、市商务局等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18</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人工智能创新大赛</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举办首届宜春市人工智能创新大赛。</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市工信局、市委宣传部等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19</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人工智能应用示范</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引进培育人工智能企业，支持智能网联汽车、智能服务机器人设计研发。</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市工信局、市商务局等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9</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公共服务区块链应用创新示范项目</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积极对接国内知名区块链科研机构与企业，探索在智慧小镇建立区块链应用研究中心，并建立区块链公共服务应用研究实验室，开展公共服务领域区块链应用的切入点研究。</w:t>
            </w:r>
          </w:p>
        </w:tc>
        <w:tc>
          <w:tcPr>
            <w:tcW w:w="2079"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宜阳新区管委会、市科技局、市商务局、市大数据局等</w:t>
            </w:r>
          </w:p>
        </w:tc>
      </w:tr>
      <w:tr>
        <w:tblPrEx>
          <w:tblLayout w:type="fixed"/>
          <w:tblCellMar>
            <w:top w:w="0" w:type="dxa"/>
            <w:left w:w="108" w:type="dxa"/>
            <w:bottom w:w="0" w:type="dxa"/>
            <w:right w:w="108" w:type="dxa"/>
          </w:tblCellMar>
        </w:tblPrEx>
        <w:trPr>
          <w:trHeight w:val="40" w:hRule="atLeast"/>
        </w:trPr>
        <w:tc>
          <w:tcPr>
            <w:tcW w:w="5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r>
              <w:rPr>
                <w:rFonts w:ascii="仿宋_GB2312" w:hAnsi="等线" w:cs="宋体"/>
                <w:color w:val="000000"/>
                <w:kern w:val="0"/>
                <w:sz w:val="24"/>
                <w:szCs w:val="24"/>
                <w:highlight w:val="none"/>
              </w:rPr>
              <w:t>0</w:t>
            </w:r>
          </w:p>
        </w:tc>
        <w:tc>
          <w:tcPr>
            <w:tcW w:w="18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金融区块链应用创新示范项目</w:t>
            </w:r>
          </w:p>
        </w:tc>
        <w:tc>
          <w:tcPr>
            <w:tcW w:w="40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依托智慧小镇区块链应用研究中心建立区块链金融应用研究实验室，开展金融领域区块链应用切入点研究。</w:t>
            </w:r>
          </w:p>
        </w:tc>
        <w:tc>
          <w:tcPr>
            <w:tcW w:w="2079" w:type="dxa"/>
            <w:tcBorders>
              <w:top w:val="single" w:color="auto" w:sz="4" w:space="0"/>
              <w:left w:val="nil"/>
              <w:bottom w:val="single" w:color="auto" w:sz="4" w:space="0"/>
              <w:right w:val="single" w:color="auto" w:sz="4" w:space="0"/>
            </w:tcBorders>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宜阳新区管委会、市科技局、市政府金融办、市商务局等</w:t>
            </w:r>
          </w:p>
        </w:tc>
      </w:tr>
    </w:tbl>
    <w:p>
      <w:pPr>
        <w:ind w:firstLine="560" w:firstLineChars="200"/>
        <w:jc w:val="center"/>
        <w:rPr>
          <w:highlight w:val="none"/>
        </w:rPr>
      </w:pPr>
    </w:p>
    <w:p>
      <w:pPr>
        <w:ind w:firstLine="560" w:firstLineChars="200"/>
        <w:jc w:val="center"/>
        <w:rPr>
          <w:highlight w:val="none"/>
        </w:rPr>
      </w:pPr>
      <w:r>
        <w:rPr>
          <w:rFonts w:hint="eastAsia"/>
          <w:highlight w:val="none"/>
        </w:rPr>
        <w:t>表5.8</w:t>
      </w:r>
      <w:r>
        <w:rPr>
          <w:highlight w:val="none"/>
        </w:rPr>
        <w:t xml:space="preserve"> </w:t>
      </w:r>
      <w:r>
        <w:rPr>
          <w:rFonts w:hint="eastAsia"/>
          <w:highlight w:val="none"/>
        </w:rPr>
        <w:t>20</w:t>
      </w:r>
      <w:r>
        <w:rPr>
          <w:highlight w:val="none"/>
        </w:rPr>
        <w:t>20</w:t>
      </w:r>
      <w:r>
        <w:rPr>
          <w:rFonts w:hint="eastAsia"/>
          <w:highlight w:val="none"/>
        </w:rPr>
        <w:t>年重点任务推进计划</w:t>
      </w:r>
    </w:p>
    <w:tbl>
      <w:tblPr>
        <w:tblStyle w:val="36"/>
        <w:tblW w:w="8522" w:type="dxa"/>
        <w:tblInd w:w="0" w:type="dxa"/>
        <w:tblLayout w:type="fixed"/>
        <w:tblCellMar>
          <w:top w:w="0" w:type="dxa"/>
          <w:left w:w="108" w:type="dxa"/>
          <w:bottom w:w="0" w:type="dxa"/>
          <w:right w:w="108" w:type="dxa"/>
        </w:tblCellMar>
      </w:tblPr>
      <w:tblGrid>
        <w:gridCol w:w="471"/>
        <w:gridCol w:w="1854"/>
        <w:gridCol w:w="4077"/>
        <w:gridCol w:w="2120"/>
      </w:tblGrid>
      <w:tr>
        <w:tblPrEx>
          <w:tblLayout w:type="fixed"/>
          <w:tblCellMar>
            <w:top w:w="0" w:type="dxa"/>
            <w:left w:w="108" w:type="dxa"/>
            <w:bottom w:w="0" w:type="dxa"/>
            <w:right w:w="108" w:type="dxa"/>
          </w:tblCellMar>
        </w:tblPrEx>
        <w:trPr>
          <w:trHeight w:val="315" w:hRule="atLeast"/>
          <w:tblHeader/>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数据资源采集和清洗中心建设项目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依托飞达电气、国信优易等企业形成标准化、规范化的数据采集和清洗产品，引进西安美林、北京数字冰雹、成都数联铭品等企业开展智慧城市、工业领域数据采集、清洗和可视化分析服务。</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宜阳新区管委会、市工信局、市商务局等</w:t>
            </w:r>
          </w:p>
        </w:tc>
      </w:tr>
      <w:tr>
        <w:tblPrEx>
          <w:tblLayout w:type="fixed"/>
          <w:tblCellMar>
            <w:top w:w="0" w:type="dxa"/>
            <w:left w:w="108" w:type="dxa"/>
            <w:bottom w:w="0" w:type="dxa"/>
            <w:right w:w="108" w:type="dxa"/>
          </w:tblCellMar>
        </w:tblPrEx>
        <w:trPr>
          <w:trHeight w:val="40"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云数据中心建设项目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依托华为等数据中心运营企业，根据需求部署机架，优先推动政务系统逐步迁移。</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宜阳新区管委会、市工信局、市大数据局等</w:t>
            </w:r>
          </w:p>
        </w:tc>
      </w:tr>
      <w:tr>
        <w:tblPrEx>
          <w:tblLayout w:type="fixed"/>
          <w:tblCellMar>
            <w:top w:w="0" w:type="dxa"/>
            <w:left w:w="108" w:type="dxa"/>
            <w:bottom w:w="0" w:type="dxa"/>
            <w:right w:w="108" w:type="dxa"/>
          </w:tblCellMar>
        </w:tblPrEx>
        <w:trPr>
          <w:trHeight w:val="487"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呼叫中心建设项目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依托华云呼叫中心、华唐集团等呼叫中心运营企业为政务、教育、物流、电子商务、旅游等领域提供呼叫中心外包服务；与华为、腾讯、网易等大型企业接洽，争取大型企业客服中心落地智慧小镇。</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宜阳新区管委会、市工信局、市商务局等</w:t>
            </w:r>
          </w:p>
        </w:tc>
      </w:tr>
      <w:tr>
        <w:tblPrEx>
          <w:tblLayout w:type="fixed"/>
          <w:tblCellMar>
            <w:top w:w="0" w:type="dxa"/>
            <w:left w:w="108" w:type="dxa"/>
            <w:bottom w:w="0" w:type="dxa"/>
            <w:right w:w="108" w:type="dxa"/>
          </w:tblCellMar>
        </w:tblPrEx>
        <w:trPr>
          <w:trHeight w:val="1055"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智慧政务建设产业化项目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以数据吸引外部企业落户智慧小镇，联合本地企业开展本地政务服务创新应用，推动智慧政务服务应用在本地落地，逐步向周边辐射。</w:t>
            </w:r>
          </w:p>
        </w:tc>
        <w:tc>
          <w:tcPr>
            <w:tcW w:w="2120" w:type="dxa"/>
            <w:tcBorders>
              <w:top w:val="nil"/>
              <w:left w:val="nil"/>
              <w:bottom w:val="single" w:color="auto" w:sz="4" w:space="0"/>
              <w:right w:val="single" w:color="auto" w:sz="4" w:space="0"/>
            </w:tcBorders>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市大数据局、宜阳新区管委会、市行政审批局等</w:t>
            </w:r>
          </w:p>
        </w:tc>
      </w:tr>
      <w:tr>
        <w:tblPrEx>
          <w:tblLayout w:type="fixed"/>
          <w:tblCellMar>
            <w:top w:w="0" w:type="dxa"/>
            <w:left w:w="108" w:type="dxa"/>
            <w:bottom w:w="0" w:type="dxa"/>
            <w:right w:w="108" w:type="dxa"/>
          </w:tblCellMar>
        </w:tblPrEx>
        <w:trPr>
          <w:trHeight w:val="771"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5</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智慧民生服务建设产业化项目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以民生服务领域数据开放为重要依托，吸引外部企业落户智慧小镇，并联合本地企业开展智慧民生服务创新应用研究。</w:t>
            </w:r>
          </w:p>
        </w:tc>
        <w:tc>
          <w:tcPr>
            <w:tcW w:w="2120" w:type="dxa"/>
            <w:tcBorders>
              <w:top w:val="nil"/>
              <w:left w:val="nil"/>
              <w:bottom w:val="single" w:color="auto" w:sz="4" w:space="0"/>
              <w:right w:val="single" w:color="auto" w:sz="4" w:space="0"/>
            </w:tcBorders>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市大数据局、市商务局、宜阳新区管委会、市卫健委、市文广新旅局、市教体局、市交通运输局等</w:t>
            </w:r>
          </w:p>
        </w:tc>
      </w:tr>
      <w:tr>
        <w:tblPrEx>
          <w:tblLayout w:type="fixed"/>
          <w:tblCellMar>
            <w:top w:w="0" w:type="dxa"/>
            <w:left w:w="108" w:type="dxa"/>
            <w:bottom w:w="0" w:type="dxa"/>
            <w:right w:w="108" w:type="dxa"/>
          </w:tblCellMar>
        </w:tblPrEx>
        <w:trPr>
          <w:trHeight w:val="980"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6</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智慧城市管理建设产业化项目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培育引进智慧城市平台型企业，统筹智慧城市的整体建设节奏，联合本地信息技术企业，打造智慧城市管理服务的宜春样板。</w:t>
            </w:r>
          </w:p>
        </w:tc>
        <w:tc>
          <w:tcPr>
            <w:tcW w:w="2120" w:type="dxa"/>
            <w:tcBorders>
              <w:top w:val="nil"/>
              <w:left w:val="nil"/>
              <w:bottom w:val="single" w:color="auto" w:sz="4" w:space="0"/>
              <w:right w:val="single" w:color="auto" w:sz="4" w:space="0"/>
            </w:tcBorders>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宜阳新区管委会、市大数据局、市行政执法局、市生态局、市应急管理局、市公安局、</w:t>
            </w:r>
            <w:r>
              <w:rPr>
                <w:rFonts w:hint="eastAsia"/>
                <w:sz w:val="24"/>
                <w:highlight w:val="none"/>
              </w:rPr>
              <w:t>市交通运输局等</w:t>
            </w:r>
          </w:p>
        </w:tc>
      </w:tr>
      <w:tr>
        <w:tblPrEx>
          <w:tblLayout w:type="fixed"/>
          <w:tblCellMar>
            <w:top w:w="0" w:type="dxa"/>
            <w:left w:w="108" w:type="dxa"/>
            <w:bottom w:w="0" w:type="dxa"/>
            <w:right w:w="108" w:type="dxa"/>
          </w:tblCellMar>
        </w:tblPrEx>
        <w:trPr>
          <w:trHeight w:val="913"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7</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物流大数据建设产业化项目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依托产业环境，培育本地物流大数据企业，初步形成物流大数据产业。</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宜阳新区管委会、市商务局、市邮政管理局等</w:t>
            </w:r>
          </w:p>
        </w:tc>
      </w:tr>
      <w:tr>
        <w:tblPrEx>
          <w:tblLayout w:type="fixed"/>
          <w:tblCellMar>
            <w:top w:w="0" w:type="dxa"/>
            <w:left w:w="108" w:type="dxa"/>
            <w:bottom w:w="0" w:type="dxa"/>
            <w:right w:w="108" w:type="dxa"/>
          </w:tblCellMar>
        </w:tblPrEx>
        <w:trPr>
          <w:trHeight w:val="1384"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8</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电商大数据建设产业化项目</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探索电子商务大数据新业态，针对当地农产品、健康产品，整合线上订购支付线下快递物流等资源，积极尝试针对个人消费市场的当日达电商新模式；2、逐步引入电商企业，举办电子商务大赛等，逐步壮大产业力量、提升影响力。</w:t>
            </w:r>
          </w:p>
        </w:tc>
        <w:tc>
          <w:tcPr>
            <w:tcW w:w="2120" w:type="dxa"/>
            <w:tcBorders>
              <w:top w:val="nil"/>
              <w:left w:val="nil"/>
              <w:bottom w:val="single" w:color="auto" w:sz="4" w:space="0"/>
              <w:right w:val="single" w:color="auto" w:sz="4" w:space="0"/>
            </w:tcBorders>
            <w:vAlign w:val="center"/>
          </w:tcPr>
          <w:p>
            <w:pPr>
              <w:widowControl/>
              <w:spacing w:line="240" w:lineRule="auto"/>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宜阳新区管委会、市商务局等</w:t>
            </w:r>
          </w:p>
        </w:tc>
      </w:tr>
      <w:tr>
        <w:tblPrEx>
          <w:tblLayout w:type="fixed"/>
          <w:tblCellMar>
            <w:top w:w="0" w:type="dxa"/>
            <w:left w:w="108" w:type="dxa"/>
            <w:bottom w:w="0" w:type="dxa"/>
            <w:right w:w="108" w:type="dxa"/>
          </w:tblCellMar>
        </w:tblPrEx>
        <w:trPr>
          <w:trHeight w:val="1122" w:hRule="atLeast"/>
        </w:trPr>
        <w:tc>
          <w:tcPr>
            <w:tcW w:w="471"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9</w:t>
            </w:r>
          </w:p>
        </w:tc>
        <w:tc>
          <w:tcPr>
            <w:tcW w:w="185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旅游大数据分析应用</w:t>
            </w:r>
          </w:p>
        </w:tc>
        <w:tc>
          <w:tcPr>
            <w:tcW w:w="4077"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进一步推进涉旅数据资源的交换共享，实现宜春旅游大数据的“纵向贯通、横向融通、全域共享”，实现对旅游数据存储资源、计算资源和宽带资源的统一管理。</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市文广新旅局、市公安局、市气象局、市交通运输局等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10</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旅游大数据服务应用</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推进全市旅游资源与“一部手机畅游宜春”项目的对接，实现全市旅游资源的有机统一供给。</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市文广新旅局、各区县等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11</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旅游大数据营销应用</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引进VR旅游企业，以VR体验大数据服务为示范，选取市重点景区为试点，为游客提供VR体验营销服务。</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市文广新旅局、重点景区等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2</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旅游大数据监管应用</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引进中智云游等企业，推动企业与旅游监管部门实现数据的对接。</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市文广新旅局、各区县等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3</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数字文化娱乐基础平台建设项目</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依托本地计算资源，支持企业搭建一批动漫渲染、网游测试、电竞直播等基础平台。</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4</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ascii="仿宋_GB2312" w:hAnsi="等线"/>
                <w:color w:val="000000"/>
                <w:sz w:val="24"/>
                <w:highlight w:val="none"/>
              </w:rPr>
              <w:t>数字文化娱乐</w:t>
            </w:r>
            <w:r>
              <w:rPr>
                <w:rFonts w:hint="eastAsia" w:ascii="仿宋_GB2312" w:hAnsi="等线"/>
                <w:color w:val="000000"/>
                <w:sz w:val="24"/>
                <w:highlight w:val="none"/>
              </w:rPr>
              <w:t>产业集群建设项目</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引入一批国内知名动漫、网游、电竞等数字文化娱乐企业，重点开展动漫渲染、游戏测试、游戏客服、电竞直播等产业环节业务。</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宜阳新区管委会、市工信局、市文广新旅局等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5</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ascii="仿宋_GB2312" w:hAnsi="等线"/>
                <w:color w:val="000000"/>
                <w:sz w:val="24"/>
                <w:highlight w:val="none"/>
              </w:rPr>
              <w:t>数字文化娱乐</w:t>
            </w:r>
            <w:r>
              <w:rPr>
                <w:rFonts w:hint="eastAsia" w:ascii="仿宋_GB2312" w:hAnsi="等线"/>
                <w:color w:val="000000"/>
                <w:sz w:val="24"/>
                <w:highlight w:val="none"/>
              </w:rPr>
              <w:t>人才培育基地项目</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推进入驻企业与本地院校开展合作，鼓励本地高校及职业院校开设数字文化娱乐（动漫、游戏电竞等）相关专业及课程。</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管委会、市教体局等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6</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工业互联网标识解析行业节点建设</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逐步引进和培育标识解析机构、标识设备研发企业、软件与信息技术服务企业，打造工业互联网标识解析产业生态。</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管委会、市工信局等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7</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工业互联网联合实验室建设</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协同工业互联网研究机构、高校、制造企业打造工业互联网联合实验室。围绕共性技术研发搭建国内领先的研究和试验验证环境、生产模拟环境，重点围绕工业互联网平台、工业智能、工业安全等工业互联网核心技术开展研究、试验、评估。</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管委会、市工信局等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18</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智慧小镇人工智能技术与应用研究联合实验室</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依托各行业应用研究，形成公共数据资源库和大数据技术平台。</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市科技局、市工信局、市商务局等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19</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智能网联车试验场</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发放测试牌照，开展测试业务。</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市工信局、市交通运输局、市商务局等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20</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智能硬件创新工场</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建立持续完善机制，根据企业实际需求不断提升平台服务能力。</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市工信局、市商务局等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21</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人工智能应用示范</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引进培育人工智能企业，支持智能网联汽车、智能服务机器人设计研发。</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市工信局、市委宣传部等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22</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公共服务区块链应用创新示范项目</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积极对接国内知名区块链科研机构与企业，探索在智慧小镇建立区块链应用研究中心，并建立区块链公共服务应用研究实验室，开展公共服务领域区块链应用的切入点研究。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宜阳新区管委会、市科技局、市商务局、市大数据局等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23</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金融区块链应用创新示范项目</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依托智慧小镇区块链应用研究中心建立区块链金融应用研究实验室，开展金融领域区块链应用切入点研究。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宜阳新区管委会、市科技局、市商务局、市政府金融办等</w:t>
            </w:r>
          </w:p>
        </w:tc>
      </w:tr>
      <w:tr>
        <w:tblPrEx>
          <w:tblLayout w:type="fixed"/>
          <w:tblCellMar>
            <w:top w:w="0" w:type="dxa"/>
            <w:left w:w="108" w:type="dxa"/>
            <w:bottom w:w="0" w:type="dxa"/>
            <w:right w:w="108" w:type="dxa"/>
          </w:tblCellMar>
        </w:tblPrEx>
        <w:trPr>
          <w:trHeight w:val="40" w:hRule="atLeast"/>
        </w:trPr>
        <w:tc>
          <w:tcPr>
            <w:tcW w:w="47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24</w:t>
            </w:r>
          </w:p>
        </w:tc>
        <w:tc>
          <w:tcPr>
            <w:tcW w:w="18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溯源区块链应用创新示范项目</w:t>
            </w:r>
          </w:p>
        </w:tc>
        <w:tc>
          <w:tcPr>
            <w:tcW w:w="407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依托智慧小镇区块链应用研究中心建立区块链溯源应用研究实验室，开展溯源领域区块链应用切入点研究。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宜阳新区管委会、市科技局、市商务局、市市场监督局、</w:t>
            </w:r>
            <w:r>
              <w:rPr>
                <w:rFonts w:hint="eastAsia" w:ascii="仿宋_GB2312" w:hAnsi="等线"/>
                <w:color w:val="000000"/>
                <w:sz w:val="24"/>
                <w:highlight w:val="none"/>
              </w:rPr>
              <w:t>市农业农村局等</w:t>
            </w:r>
          </w:p>
        </w:tc>
      </w:tr>
    </w:tbl>
    <w:p>
      <w:pPr>
        <w:ind w:firstLine="560" w:firstLineChars="200"/>
        <w:rPr>
          <w:highlight w:val="none"/>
        </w:rPr>
      </w:pPr>
      <w:r>
        <w:rPr>
          <w:rFonts w:hint="eastAsia"/>
          <w:highlight w:val="none"/>
        </w:rPr>
        <w:t>（2）2021-2025年集聚期推进计划</w:t>
      </w:r>
    </w:p>
    <w:p>
      <w:pPr>
        <w:ind w:firstLine="560" w:firstLineChars="200"/>
        <w:rPr>
          <w:highlight w:val="none"/>
        </w:rPr>
      </w:pPr>
      <w:r>
        <w:rPr>
          <w:rFonts w:hint="eastAsia"/>
          <w:highlight w:val="none"/>
        </w:rPr>
        <w:t>重点产业创新基地建设，完善数据资源中心、智慧服务基地和产业运营基地，重点发展数字文化娱乐、工业互联网、物流大数据、电商大数据、旅游大数据等板块。</w:t>
      </w:r>
    </w:p>
    <w:p>
      <w:pPr>
        <w:ind w:firstLine="560" w:firstLineChars="200"/>
        <w:jc w:val="center"/>
        <w:rPr>
          <w:highlight w:val="none"/>
        </w:rPr>
      </w:pPr>
      <w:r>
        <w:rPr>
          <w:rFonts w:hint="eastAsia"/>
          <w:highlight w:val="none"/>
        </w:rPr>
        <w:t>表5.</w:t>
      </w:r>
      <w:bookmarkStart w:id="426" w:name="_Hlk521919818"/>
      <w:r>
        <w:rPr>
          <w:rFonts w:hint="eastAsia"/>
          <w:highlight w:val="none"/>
        </w:rPr>
        <w:t>9</w:t>
      </w:r>
      <w:r>
        <w:rPr>
          <w:highlight w:val="none"/>
        </w:rPr>
        <w:t xml:space="preserve"> </w:t>
      </w:r>
      <w:r>
        <w:rPr>
          <w:rFonts w:hint="eastAsia"/>
          <w:highlight w:val="none"/>
        </w:rPr>
        <w:t>2</w:t>
      </w:r>
      <w:r>
        <w:rPr>
          <w:highlight w:val="none"/>
        </w:rPr>
        <w:t>021-2025</w:t>
      </w:r>
      <w:r>
        <w:rPr>
          <w:rFonts w:hint="eastAsia"/>
          <w:highlight w:val="none"/>
        </w:rPr>
        <w:t>年重点任务推进计划</w:t>
      </w:r>
      <w:bookmarkEnd w:id="426"/>
    </w:p>
    <w:tbl>
      <w:tblPr>
        <w:tblStyle w:val="36"/>
        <w:tblW w:w="8522" w:type="dxa"/>
        <w:tblInd w:w="0" w:type="dxa"/>
        <w:tblLayout w:type="fixed"/>
        <w:tblCellMar>
          <w:top w:w="0" w:type="dxa"/>
          <w:left w:w="108" w:type="dxa"/>
          <w:bottom w:w="0" w:type="dxa"/>
          <w:right w:w="108" w:type="dxa"/>
        </w:tblCellMar>
      </w:tblPr>
      <w:tblGrid>
        <w:gridCol w:w="469"/>
        <w:gridCol w:w="1853"/>
        <w:gridCol w:w="4080"/>
        <w:gridCol w:w="2120"/>
      </w:tblGrid>
      <w:tr>
        <w:tblPrEx>
          <w:tblLayout w:type="fixed"/>
          <w:tblCellMar>
            <w:top w:w="0" w:type="dxa"/>
            <w:left w:w="108" w:type="dxa"/>
            <w:bottom w:w="0" w:type="dxa"/>
            <w:right w:w="108" w:type="dxa"/>
          </w:tblCellMar>
        </w:tblPrEx>
        <w:trPr>
          <w:trHeight w:val="315" w:hRule="atLeast"/>
          <w:tblHeader/>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数据资源采集和清洗中心建设项目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引入并鼓励企业针对政府及不同行业大数据特点，开发标准化、规范化的数据分析产品，并提供API数据接口服务，实现数据资源价值变现。</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宜阳新区管委会、市工信局、市商务局等</w:t>
            </w:r>
          </w:p>
        </w:tc>
      </w:tr>
      <w:tr>
        <w:tblPrEx>
          <w:tblLayout w:type="fixed"/>
          <w:tblCellMar>
            <w:top w:w="0" w:type="dxa"/>
            <w:left w:w="108" w:type="dxa"/>
            <w:bottom w:w="0" w:type="dxa"/>
            <w:right w:w="108" w:type="dxa"/>
          </w:tblCellMar>
        </w:tblPrEx>
        <w:trPr>
          <w:trHeight w:val="4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云数据中心建设项目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深入推动政务云、行业云平台建设部署，积极引入锂电新能源、中医药、旅游等行业数据资源和行业应用；积极引入锂电新能源、旅游、健康等跨区域行业数据资源落地。</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宜阳新区管委会、市工信局、市大数据局、市文广新旅局、市卫健委等</w:t>
            </w:r>
          </w:p>
        </w:tc>
      </w:tr>
      <w:tr>
        <w:tblPrEx>
          <w:tblLayout w:type="fixed"/>
          <w:tblCellMar>
            <w:top w:w="0" w:type="dxa"/>
            <w:left w:w="108" w:type="dxa"/>
            <w:bottom w:w="0" w:type="dxa"/>
            <w:right w:w="108" w:type="dxa"/>
          </w:tblCellMar>
        </w:tblPrEx>
        <w:trPr>
          <w:trHeight w:val="487"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呼叫中心建设项目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引入北京讯鸟、维音数码、天润融通等托管型呼叫中心企业为数字文娱企业提供云呼叫中心服务。</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宜阳新区管委会、市工信局、市商务局等</w:t>
            </w:r>
          </w:p>
        </w:tc>
      </w:tr>
      <w:tr>
        <w:tblPrEx>
          <w:tblLayout w:type="fixed"/>
          <w:tblCellMar>
            <w:top w:w="0" w:type="dxa"/>
            <w:left w:w="108" w:type="dxa"/>
            <w:bottom w:w="0" w:type="dxa"/>
            <w:right w:w="108" w:type="dxa"/>
          </w:tblCellMar>
        </w:tblPrEx>
        <w:trPr>
          <w:trHeight w:val="1055"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智慧政务建设产业化项目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做大智慧政务服务板块，面向全省、全国推广本地成熟的智慧政务服务解决方案。</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市大数据局、宜阳新区管委会、市行政审批局等</w:t>
            </w:r>
          </w:p>
        </w:tc>
      </w:tr>
      <w:tr>
        <w:tblPrEx>
          <w:tblLayout w:type="fixed"/>
          <w:tblCellMar>
            <w:top w:w="0" w:type="dxa"/>
            <w:left w:w="108" w:type="dxa"/>
            <w:bottom w:w="0" w:type="dxa"/>
            <w:right w:w="108" w:type="dxa"/>
          </w:tblCellMar>
        </w:tblPrEx>
        <w:trPr>
          <w:trHeight w:val="771"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5</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智慧民生服务建设产业化项目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做大智慧民生服务板块，面向全省、全国推广本地成熟的智慧民生服务解决方案。</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市大数据局、市商务局、宜阳新区管委会、市卫健委、市文广新旅局、市教体局、市交通运输局等</w:t>
            </w:r>
          </w:p>
        </w:tc>
      </w:tr>
      <w:tr>
        <w:tblPrEx>
          <w:tblLayout w:type="fixed"/>
          <w:tblCellMar>
            <w:top w:w="0" w:type="dxa"/>
            <w:left w:w="108" w:type="dxa"/>
            <w:bottom w:w="0" w:type="dxa"/>
            <w:right w:w="108" w:type="dxa"/>
          </w:tblCellMar>
        </w:tblPrEx>
        <w:trPr>
          <w:trHeight w:val="98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6</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智慧城市管理建设产业化项目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做大智慧城市管理服务板块，面向全省、全国推广本地成熟的智慧城市管理服务解决方案。</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宜阳新区管委会、市大数据局、市行政执法局、市生态局、市应急管理局、市公安局、</w:t>
            </w:r>
            <w:r>
              <w:rPr>
                <w:rFonts w:hint="eastAsia"/>
                <w:sz w:val="24"/>
                <w:highlight w:val="none"/>
              </w:rPr>
              <w:t>市交通运输局等</w:t>
            </w:r>
          </w:p>
        </w:tc>
      </w:tr>
      <w:tr>
        <w:tblPrEx>
          <w:tblLayout w:type="fixed"/>
          <w:tblCellMar>
            <w:top w:w="0" w:type="dxa"/>
            <w:left w:w="108" w:type="dxa"/>
            <w:bottom w:w="0" w:type="dxa"/>
            <w:right w:w="108" w:type="dxa"/>
          </w:tblCellMar>
        </w:tblPrEx>
        <w:trPr>
          <w:trHeight w:val="913"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7</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物流大数据建设产业化项目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大力发展物流信息技术，推广物联网、云计算、大数据、人工智能、机器人、无线射频识别等先进技术在物流领域的应用，推进物流标准化建设。</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宜阳新区管委会、市商务局、市邮政管理局等</w:t>
            </w:r>
          </w:p>
        </w:tc>
      </w:tr>
      <w:tr>
        <w:tblPrEx>
          <w:tblLayout w:type="fixed"/>
          <w:tblCellMar>
            <w:top w:w="0" w:type="dxa"/>
            <w:left w:w="108" w:type="dxa"/>
            <w:bottom w:w="0" w:type="dxa"/>
            <w:right w:w="108" w:type="dxa"/>
          </w:tblCellMar>
        </w:tblPrEx>
        <w:trPr>
          <w:trHeight w:val="1384"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8</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电商大数据建设产业化项目</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建设电商大数据分析平台，基于用户信息、消费记录、浏览行为以及满意度等海量数据，利用大数据技术手段进行数据挖掘，为企业提供用户行为分析（买什么、何时买、哪里买、供多少等）、物流配送管理（物流站点设计、配送线路设计）、供应链管理（仓库管理、库存控制）、金融分析（用户信用评估、风险评估）等服务，建设电子商务技术服务产业生态。</w:t>
            </w:r>
          </w:p>
        </w:tc>
        <w:tc>
          <w:tcPr>
            <w:tcW w:w="2120" w:type="dxa"/>
            <w:tcBorders>
              <w:top w:val="nil"/>
              <w:left w:val="nil"/>
              <w:bottom w:val="single" w:color="auto" w:sz="4" w:space="0"/>
              <w:right w:val="single" w:color="auto" w:sz="4" w:space="0"/>
            </w:tcBorders>
            <w:vAlign w:val="center"/>
          </w:tcPr>
          <w:p>
            <w:pPr>
              <w:widowControl/>
              <w:spacing w:line="240" w:lineRule="auto"/>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宜阳新区管委会、市商务局等</w:t>
            </w:r>
          </w:p>
        </w:tc>
      </w:tr>
      <w:tr>
        <w:tblPrEx>
          <w:tblLayout w:type="fixed"/>
          <w:tblCellMar>
            <w:top w:w="0" w:type="dxa"/>
            <w:left w:w="108" w:type="dxa"/>
            <w:bottom w:w="0" w:type="dxa"/>
            <w:right w:w="108" w:type="dxa"/>
          </w:tblCellMar>
        </w:tblPrEx>
        <w:trPr>
          <w:trHeight w:val="1122"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9</w:t>
            </w:r>
          </w:p>
        </w:tc>
        <w:tc>
          <w:tcPr>
            <w:tcW w:w="185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旅游大数据分析应用</w:t>
            </w:r>
          </w:p>
        </w:tc>
        <w:tc>
          <w:tcPr>
            <w:tcW w:w="408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引进旅游企业，合作持续挖掘涉旅行业大数据价值，对景点、环境、气象、游客、酒店、交通、涉旅企业进行综合数据分析应用。</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市文广新旅局、市公安局、市气象局、市交通运输局等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10</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旅游大数据服务应用</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不断完善服务功能，挖掘服务深度，提供旅游咨询、交通、行程规划、LBS服务。</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市文广新旅局、市交通运输局、各区县等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11</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旅游大数据营销应用</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推动景区景点实现VR体验服务，实现游客出行前的目的地虚拟体验、目的地VR辅助的景观重现、VR还原的特殊线路和视角等，改变传统景区和旅行社的营销方式，吸引更多游客来宜春旅游。</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市文广新旅局、重点景区等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2</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旅游大数据监管应用</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推动旅游监管企业获取景区景点视频监控、票务、停车等信息，为旅游监管部门提供第三方旅游监管服务，实现对客流的预警管理，提升突发事件预警、响应和处理能力。</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市文广新旅局、市公安局、市交通运输局、各区县等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3</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数字文化娱乐基础平台建设项目</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扩大基础平台规模。</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4</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数字文化娱乐产业集群建设项目</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加大企业引入力度，完善产业链。加强</w:t>
            </w:r>
            <w:r>
              <w:rPr>
                <w:rFonts w:hint="eastAsia" w:ascii="仿宋_GB2312" w:hAnsi="等线" w:cs="宋体"/>
                <w:color w:val="000000"/>
                <w:kern w:val="0"/>
                <w:sz w:val="24"/>
                <w:szCs w:val="24"/>
                <w:highlight w:val="none"/>
              </w:rPr>
              <w:t>动漫、网络游戏、网络文学、网络视频、网络音乐、</w:t>
            </w:r>
            <w:r>
              <w:rPr>
                <w:rFonts w:ascii="仿宋_GB2312" w:hAnsi="等线" w:cs="宋体"/>
                <w:color w:val="000000"/>
                <w:kern w:val="0"/>
                <w:sz w:val="24"/>
                <w:szCs w:val="24"/>
                <w:highlight w:val="none"/>
              </w:rPr>
              <w:t>网络直播等知名企业的接洽及引进</w:t>
            </w:r>
            <w:r>
              <w:rPr>
                <w:rFonts w:hint="eastAsia" w:ascii="仿宋_GB2312" w:hAnsi="等线" w:cs="宋体"/>
                <w:color w:val="000000"/>
                <w:kern w:val="0"/>
                <w:sz w:val="24"/>
                <w:szCs w:val="24"/>
                <w:highlight w:val="none"/>
              </w:rPr>
              <w:t>，产业发展</w:t>
            </w:r>
            <w:r>
              <w:rPr>
                <w:rFonts w:ascii="仿宋_GB2312" w:hAnsi="等线" w:cs="宋体"/>
                <w:color w:val="000000"/>
                <w:kern w:val="0"/>
                <w:sz w:val="24"/>
                <w:szCs w:val="24"/>
                <w:highlight w:val="none"/>
              </w:rPr>
              <w:t>逐步从劳动密集环节向产品研发</w:t>
            </w:r>
            <w:r>
              <w:rPr>
                <w:rFonts w:hint="eastAsia" w:ascii="仿宋_GB2312" w:hAnsi="等线" w:cs="宋体"/>
                <w:color w:val="000000"/>
                <w:kern w:val="0"/>
                <w:sz w:val="24"/>
                <w:szCs w:val="24"/>
                <w:highlight w:val="none"/>
              </w:rPr>
              <w:t>、</w:t>
            </w:r>
            <w:r>
              <w:rPr>
                <w:rFonts w:ascii="仿宋_GB2312" w:hAnsi="等线" w:cs="宋体"/>
                <w:color w:val="000000"/>
                <w:kern w:val="0"/>
                <w:sz w:val="24"/>
                <w:szCs w:val="24"/>
                <w:highlight w:val="none"/>
              </w:rPr>
              <w:t>内容设计制作</w:t>
            </w:r>
            <w:r>
              <w:rPr>
                <w:rFonts w:hint="eastAsia" w:ascii="仿宋_GB2312" w:hAnsi="等线" w:cs="宋体"/>
                <w:color w:val="000000"/>
                <w:kern w:val="0"/>
                <w:sz w:val="24"/>
                <w:szCs w:val="24"/>
                <w:highlight w:val="none"/>
              </w:rPr>
              <w:t>、</w:t>
            </w:r>
            <w:r>
              <w:rPr>
                <w:rFonts w:ascii="仿宋_GB2312" w:hAnsi="等线" w:cs="宋体"/>
                <w:color w:val="000000"/>
                <w:kern w:val="0"/>
                <w:sz w:val="24"/>
                <w:szCs w:val="24"/>
                <w:highlight w:val="none"/>
              </w:rPr>
              <w:t>产品出版等环节延伸</w:t>
            </w:r>
            <w:r>
              <w:rPr>
                <w:rFonts w:hint="eastAsia" w:ascii="仿宋_GB2312" w:hAnsi="等线" w:cs="宋体"/>
                <w:color w:val="000000"/>
                <w:kern w:val="0"/>
                <w:sz w:val="24"/>
                <w:szCs w:val="24"/>
                <w:highlight w:val="none"/>
              </w:rPr>
              <w:t>。</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宜阳新区管委会、市工信局、市文广新旅局等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5</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数字文化娱乐人才培育基地项目</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引进一批国内知名数字文化娱乐培训企业或机构入驻，联合本地高校及职业院校初步构建数字文化娱乐人才培育基地，主要面向本地及全省提供培训服务。</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管委会、市教体局等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6</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工业互联网产学研交流平台建设</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联合工业互联网产业联盟，组织召开工业互联网峰会和工业互联网论坛，搭建产学研交流合作平台，提高本地工业企业对工业互联网、工业大数据等方面的认识，促进本地传统工业企业转型升级。</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市工信局、</w:t>
            </w:r>
            <w:r>
              <w:rPr>
                <w:rFonts w:ascii="仿宋_GB2312" w:hAnsi="等线"/>
                <w:color w:val="000000"/>
                <w:sz w:val="24"/>
                <w:highlight w:val="none"/>
              </w:rPr>
              <w:t>宜阳新区</w:t>
            </w:r>
            <w:r>
              <w:rPr>
                <w:rFonts w:hint="eastAsia" w:ascii="仿宋_GB2312" w:hAnsi="等线"/>
                <w:color w:val="000000"/>
                <w:sz w:val="24"/>
                <w:highlight w:val="none"/>
              </w:rPr>
              <w:t>管委会等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7</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工业互联网创新体验中心建设</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搭建公共展示环境，邀请工业互联网产业联盟的测试床、优秀应用案例等项目入驻，组织展示宜春市工业互联网相关试点示范项目和典型案例，以实景展示面向制造业转型升级的工业互联网解决方案。</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管委会、市工信局等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18</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智能制造和工业互联网人才培养基地建设</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联合工业企业、科研机构、高等院校和职业院校等多方力量建设智能制造和工业互联网人才培养基地，开展自动控制应用技术、机器人技术与应用、物联网及云技术、制造执行及信息系统、AR/VR技术及应用、仿真技术应用和3D打印技术应用等方面的培训和实训，为智能制造和工业互联网发展培养实施人才。</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管委会、市工信局、市教体局等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19</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工业互联网平台建设</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积极与已经获得工业互联网产业联盟可信服务评估认证的工业互联网平台企业接洽，助力宜春工业企业数字化、网络化、智能化改造，推动宜春企业信息基础设施与业务应用系统“上云上平台”。</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市工信局、</w:t>
            </w:r>
            <w:r>
              <w:rPr>
                <w:rFonts w:ascii="仿宋_GB2312" w:hAnsi="等线"/>
                <w:color w:val="000000"/>
                <w:sz w:val="24"/>
                <w:highlight w:val="none"/>
              </w:rPr>
              <w:t>宜阳新区</w:t>
            </w:r>
            <w:r>
              <w:rPr>
                <w:rFonts w:hint="eastAsia" w:ascii="仿宋_GB2312" w:hAnsi="等线"/>
                <w:color w:val="000000"/>
                <w:sz w:val="24"/>
                <w:highlight w:val="none"/>
              </w:rPr>
              <w:t>管委会、市商务局等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2</w:t>
            </w:r>
            <w:r>
              <w:rPr>
                <w:rFonts w:hint="eastAsia" w:ascii="仿宋_GB2312" w:hAnsi="等线" w:cs="宋体"/>
                <w:color w:val="000000"/>
                <w:kern w:val="0"/>
                <w:sz w:val="24"/>
                <w:szCs w:val="24"/>
                <w:highlight w:val="none"/>
              </w:rPr>
              <w:t>0</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人工智能应用示范</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开展人工智能应用示范。</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市工信局等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r>
              <w:rPr>
                <w:rFonts w:ascii="仿宋_GB2312" w:hAnsi="等线" w:cs="宋体"/>
                <w:color w:val="000000"/>
                <w:kern w:val="0"/>
                <w:sz w:val="24"/>
                <w:szCs w:val="24"/>
                <w:highlight w:val="none"/>
              </w:rPr>
              <w:t>1</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公共服务区块链应用创新示范项目</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积极对接国内知名区块链科研机构与企业，探索在智慧小镇建立区块链应用研究中心，并建立区块链公共服务应用研究实验室，开展公共服务领域区块链应用的切入点研究。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宜阳新区管委会、市科技局、市商务局、市大数据局等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r>
              <w:rPr>
                <w:rFonts w:ascii="仿宋_GB2312" w:hAnsi="等线" w:cs="宋体"/>
                <w:color w:val="000000"/>
                <w:kern w:val="0"/>
                <w:sz w:val="24"/>
                <w:szCs w:val="24"/>
                <w:highlight w:val="none"/>
              </w:rPr>
              <w:t>2</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金融区块链应用创新示范项目</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依托智慧小镇区块链应用研究中心建立区块链金融应用研究实验室，开展金融领域区块链应用切入点研究。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宜阳新区管委会、市科技局、市商务局、市政府金融办等</w:t>
            </w:r>
          </w:p>
        </w:tc>
      </w:tr>
      <w:tr>
        <w:tblPrEx>
          <w:tblLayout w:type="fixed"/>
          <w:tblCellMar>
            <w:top w:w="0" w:type="dxa"/>
            <w:left w:w="108" w:type="dxa"/>
            <w:bottom w:w="0" w:type="dxa"/>
            <w:right w:w="108" w:type="dxa"/>
          </w:tblCellMar>
        </w:tblPrEx>
        <w:trPr>
          <w:trHeight w:val="40" w:hRule="atLeast"/>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r>
              <w:rPr>
                <w:rFonts w:ascii="仿宋_GB2312" w:hAnsi="等线" w:cs="宋体"/>
                <w:color w:val="000000"/>
                <w:kern w:val="0"/>
                <w:sz w:val="24"/>
                <w:szCs w:val="24"/>
                <w:highlight w:val="none"/>
              </w:rPr>
              <w:t>3</w:t>
            </w:r>
          </w:p>
        </w:tc>
        <w:tc>
          <w:tcPr>
            <w:tcW w:w="185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溯源区块链应用创新示范项目</w:t>
            </w:r>
          </w:p>
        </w:tc>
        <w:tc>
          <w:tcPr>
            <w:tcW w:w="40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依托智慧小镇区块链应用研究中心建立区块链溯源应用研究实验室，开展溯源领域区块链应用切入点研究。</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宜阳新区管委会、市科技局、市商务局、市市场监督局、</w:t>
            </w:r>
            <w:r>
              <w:rPr>
                <w:rFonts w:hint="eastAsia" w:ascii="仿宋_GB2312" w:hAnsi="等线"/>
                <w:color w:val="000000"/>
                <w:sz w:val="24"/>
                <w:highlight w:val="none"/>
              </w:rPr>
              <w:t>市农业农村局等</w:t>
            </w:r>
          </w:p>
        </w:tc>
      </w:tr>
    </w:tbl>
    <w:p>
      <w:pPr>
        <w:rPr>
          <w:highlight w:val="none"/>
        </w:rPr>
      </w:pPr>
    </w:p>
    <w:p>
      <w:pPr>
        <w:ind w:firstLine="560" w:firstLineChars="200"/>
        <w:rPr>
          <w:highlight w:val="none"/>
        </w:rPr>
      </w:pPr>
      <w:r>
        <w:rPr>
          <w:rFonts w:hint="eastAsia"/>
          <w:highlight w:val="none"/>
        </w:rPr>
        <w:t>（3）2026-2030年飞跃期推进计划</w:t>
      </w:r>
    </w:p>
    <w:p>
      <w:pPr>
        <w:ind w:firstLine="560" w:firstLineChars="200"/>
        <w:rPr>
          <w:highlight w:val="none"/>
        </w:rPr>
      </w:pPr>
      <w:r>
        <w:rPr>
          <w:rFonts w:hint="eastAsia"/>
          <w:highlight w:val="none"/>
        </w:rPr>
        <w:t>重点开展应用研发基地建设，壮大产业创新基地规模，重点实现人工智能、区块链等板块的产业化发展。</w:t>
      </w:r>
    </w:p>
    <w:p>
      <w:pPr>
        <w:ind w:firstLine="560" w:firstLineChars="200"/>
        <w:jc w:val="center"/>
        <w:rPr>
          <w:bCs/>
          <w:highlight w:val="none"/>
        </w:rPr>
      </w:pPr>
      <w:r>
        <w:rPr>
          <w:rFonts w:hint="eastAsia"/>
          <w:bCs/>
          <w:highlight w:val="none"/>
        </w:rPr>
        <w:t>表5.10</w:t>
      </w:r>
      <w:r>
        <w:rPr>
          <w:bCs/>
          <w:highlight w:val="none"/>
        </w:rPr>
        <w:t xml:space="preserve"> </w:t>
      </w:r>
      <w:r>
        <w:rPr>
          <w:rFonts w:hint="eastAsia"/>
          <w:bCs/>
          <w:highlight w:val="none"/>
        </w:rPr>
        <w:t>2026-2030年重点任务推进计划</w:t>
      </w:r>
    </w:p>
    <w:tbl>
      <w:tblPr>
        <w:tblStyle w:val="36"/>
        <w:tblW w:w="8522" w:type="dxa"/>
        <w:tblInd w:w="0" w:type="dxa"/>
        <w:tblLayout w:type="fixed"/>
        <w:tblCellMar>
          <w:top w:w="0" w:type="dxa"/>
          <w:left w:w="108" w:type="dxa"/>
          <w:bottom w:w="0" w:type="dxa"/>
          <w:right w:w="108" w:type="dxa"/>
        </w:tblCellMar>
      </w:tblPr>
      <w:tblGrid>
        <w:gridCol w:w="468"/>
        <w:gridCol w:w="1623"/>
        <w:gridCol w:w="4166"/>
        <w:gridCol w:w="2265"/>
      </w:tblGrid>
      <w:tr>
        <w:tblPrEx>
          <w:tblLayout w:type="fixed"/>
          <w:tblCellMar>
            <w:top w:w="0" w:type="dxa"/>
            <w:left w:w="108" w:type="dxa"/>
            <w:bottom w:w="0" w:type="dxa"/>
            <w:right w:w="108" w:type="dxa"/>
          </w:tblCellMar>
        </w:tblPrEx>
        <w:trPr>
          <w:trHeight w:val="315" w:hRule="atLeast"/>
          <w:tblHeader/>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数据资源采集和清洗中心建设项目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从数据采集和清洗环节入手，培育本地数据加工企业和人才，推进数据资源的采集、清洗、展示和流通的商品化，逐渐打造采集、清洗、分析、挖掘、展示和流通全产业链条能力。</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宜阳新区管委会、市工信局、市商务局等</w:t>
            </w:r>
          </w:p>
        </w:tc>
      </w:tr>
      <w:tr>
        <w:tblPrEx>
          <w:tblLayout w:type="fixed"/>
          <w:tblCellMar>
            <w:top w:w="0" w:type="dxa"/>
            <w:left w:w="108" w:type="dxa"/>
            <w:bottom w:w="0" w:type="dxa"/>
            <w:right w:w="108" w:type="dxa"/>
          </w:tblCellMar>
        </w:tblPrEx>
        <w:trPr>
          <w:trHeight w:val="40"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云数据中心建设项目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鼓励数据中心运营企业开展绿色节能、云存储、模块化等新技术应用，提升云数据中心的承载能力和服务能力。</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宜阳新区管委会、市工信局、市大数据局等</w:t>
            </w:r>
          </w:p>
        </w:tc>
      </w:tr>
      <w:tr>
        <w:tblPrEx>
          <w:tblLayout w:type="fixed"/>
          <w:tblCellMar>
            <w:top w:w="0" w:type="dxa"/>
            <w:left w:w="108" w:type="dxa"/>
            <w:bottom w:w="0" w:type="dxa"/>
            <w:right w:w="108" w:type="dxa"/>
          </w:tblCellMar>
        </w:tblPrEx>
        <w:trPr>
          <w:trHeight w:val="487"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呼叫中心建设项目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依托呼叫中心运营企业，打造基于客户数据分析、客户细分的精准营销支持能力，提高呼叫中心运营能力和成本效益，聚集建成辐射全国的呼叫中心产业基地。</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sz w:val="24"/>
                <w:highlight w:val="none"/>
              </w:rPr>
              <w:t>宜阳新区管委会、市工信局、市商务局等</w:t>
            </w:r>
          </w:p>
        </w:tc>
      </w:tr>
      <w:tr>
        <w:tblPrEx>
          <w:tblLayout w:type="fixed"/>
          <w:tblCellMar>
            <w:top w:w="0" w:type="dxa"/>
            <w:left w:w="108" w:type="dxa"/>
            <w:bottom w:w="0" w:type="dxa"/>
            <w:right w:w="108" w:type="dxa"/>
          </w:tblCellMar>
        </w:tblPrEx>
        <w:trPr>
          <w:trHeight w:val="1055"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智慧政务建设产业化项目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做大智慧政务服务板块，面向全省、全国推广本地成熟的智慧政务服务解决方案。</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市大数据局、宜阳新区管委会、市行政审批局等</w:t>
            </w:r>
          </w:p>
        </w:tc>
      </w:tr>
      <w:tr>
        <w:tblPrEx>
          <w:tblLayout w:type="fixed"/>
          <w:tblCellMar>
            <w:top w:w="0" w:type="dxa"/>
            <w:left w:w="108" w:type="dxa"/>
            <w:bottom w:w="0" w:type="dxa"/>
            <w:right w:w="108" w:type="dxa"/>
          </w:tblCellMar>
        </w:tblPrEx>
        <w:trPr>
          <w:trHeight w:val="771"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5</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智慧民生服务建设产业化项目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做大智慧民生服务板块，面向全省、全国推广本地成熟的智慧民生服务解决方案。</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市大数据局、市商务局、宜阳新区管委会、市卫健委、市文广新旅局、市教体局、市交通运输局等</w:t>
            </w:r>
          </w:p>
        </w:tc>
      </w:tr>
      <w:tr>
        <w:tblPrEx>
          <w:tblLayout w:type="fixed"/>
          <w:tblCellMar>
            <w:top w:w="0" w:type="dxa"/>
            <w:left w:w="108" w:type="dxa"/>
            <w:bottom w:w="0" w:type="dxa"/>
            <w:right w:w="108" w:type="dxa"/>
          </w:tblCellMar>
        </w:tblPrEx>
        <w:trPr>
          <w:trHeight w:val="980"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6</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智慧城市管理建设产业化项目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做大智慧城市管理服务板块，面向全省、全国推广本地成熟的智慧城市管理服务解决方案。</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宜阳新区管委会、市大数据局、市行政执法局、市生态局、市应急管理局、市公安局、</w:t>
            </w:r>
            <w:r>
              <w:rPr>
                <w:rFonts w:hint="eastAsia"/>
                <w:sz w:val="24"/>
                <w:highlight w:val="none"/>
              </w:rPr>
              <w:t>市交通运输局等</w:t>
            </w:r>
          </w:p>
        </w:tc>
      </w:tr>
      <w:tr>
        <w:tblPrEx>
          <w:tblLayout w:type="fixed"/>
          <w:tblCellMar>
            <w:top w:w="0" w:type="dxa"/>
            <w:left w:w="108" w:type="dxa"/>
            <w:bottom w:w="0" w:type="dxa"/>
            <w:right w:w="108" w:type="dxa"/>
          </w:tblCellMar>
        </w:tblPrEx>
        <w:trPr>
          <w:trHeight w:val="913"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7</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物流大数据建设产业化项目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持续发展物流大数据产业，探索将物流平台海量数据大数据分析应用于供应链金融等新业态，打造智慧物流生态体系，成为江西省物流信息化的重要服务基地。</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宜阳新区管委会、市商务局、市邮政管理局等</w:t>
            </w:r>
          </w:p>
        </w:tc>
      </w:tr>
      <w:tr>
        <w:tblPrEx>
          <w:tblLayout w:type="fixed"/>
          <w:tblCellMar>
            <w:top w:w="0" w:type="dxa"/>
            <w:left w:w="108" w:type="dxa"/>
            <w:bottom w:w="0" w:type="dxa"/>
            <w:right w:w="108" w:type="dxa"/>
          </w:tblCellMar>
        </w:tblPrEx>
        <w:trPr>
          <w:trHeight w:val="1384"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8</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电商大数据建设产业化项目</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依托电商大数据分析平台，向制造企业提供科技服务，帮助制造企业进行柔性化生产、个性化定制，进而改变传统制造业生产模式，促进传统产业转型升级。</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宜阳新区管委会、市商务局等</w:t>
            </w:r>
          </w:p>
        </w:tc>
      </w:tr>
      <w:tr>
        <w:tblPrEx>
          <w:tblLayout w:type="fixed"/>
          <w:tblCellMar>
            <w:top w:w="0" w:type="dxa"/>
            <w:left w:w="108" w:type="dxa"/>
            <w:bottom w:w="0" w:type="dxa"/>
            <w:right w:w="108" w:type="dxa"/>
          </w:tblCellMar>
        </w:tblPrEx>
        <w:trPr>
          <w:trHeight w:val="1122" w:hRule="atLeast"/>
        </w:trPr>
        <w:tc>
          <w:tcPr>
            <w:tcW w:w="468"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9</w:t>
            </w:r>
          </w:p>
        </w:tc>
        <w:tc>
          <w:tcPr>
            <w:tcW w:w="162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旅游大数据分析应用</w:t>
            </w:r>
          </w:p>
        </w:tc>
        <w:tc>
          <w:tcPr>
            <w:tcW w:w="4166"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拓展宜春周边地区旅游资源，为全省旅游部门和景点提供旅游信息对接服务、旅游管理和大数据分析服务。</w:t>
            </w:r>
          </w:p>
        </w:tc>
        <w:tc>
          <w:tcPr>
            <w:tcW w:w="2265"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市文广新旅局、市公安局、市气象局、市交通运输局等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10</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旅游大数据服务应用</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依托宜春旅游服务经验鼓励企业为周边地区提供旅游大数据服务，不断扩大宜春旅游大数据服务的影响力。</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市文广新旅局、市交通运输局、各区县等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11</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旅游大数据营销应用</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鼓励本地旅游大数据营销企业拓展全省乃至全国业务，扩大宜春旅游大数据营销服务在全国的影响力。</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市文广新旅局、重点景区等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2</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旅游大数据监管应用</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培育本地企业依托宜春旅游预测预警应用经验，支持向周边地区景区景点提供预测预警旅游大数据监管服务。</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市文广新旅局、市公安局、市交通运输局、各区县等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3</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数字文化娱乐基础平台建设项目</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扩大基础平台规模。</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4</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ascii="仿宋_GB2312" w:hAnsi="等线"/>
                <w:color w:val="000000"/>
                <w:sz w:val="24"/>
                <w:highlight w:val="none"/>
              </w:rPr>
              <w:t>数字文化娱乐</w:t>
            </w:r>
            <w:r>
              <w:rPr>
                <w:rFonts w:hint="eastAsia" w:ascii="仿宋_GB2312" w:hAnsi="等线"/>
                <w:color w:val="000000"/>
                <w:sz w:val="24"/>
                <w:highlight w:val="none"/>
              </w:rPr>
              <w:t>产业集群建设项目</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推进智慧小镇数字文化娱乐企业间跨界融合，开发具有地方特色的高价值IP产品。推进数字文化娱乐企业在智慧小镇集聚发展，逐步形成在省内具有影响力的</w:t>
            </w:r>
            <w:r>
              <w:rPr>
                <w:rFonts w:ascii="仿宋_GB2312" w:hAnsi="等线"/>
                <w:color w:val="000000"/>
                <w:sz w:val="24"/>
                <w:highlight w:val="none"/>
              </w:rPr>
              <w:t>数字文化娱乐</w:t>
            </w:r>
            <w:r>
              <w:rPr>
                <w:rFonts w:hint="eastAsia" w:ascii="仿宋_GB2312" w:hAnsi="等线"/>
                <w:color w:val="000000"/>
                <w:sz w:val="24"/>
                <w:highlight w:val="none"/>
              </w:rPr>
              <w:t>产业集群。</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宜阳新区管委会、市工信局、市文广新旅局等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1</w:t>
            </w:r>
            <w:r>
              <w:rPr>
                <w:rFonts w:ascii="仿宋_GB2312" w:hAnsi="等线"/>
                <w:color w:val="000000"/>
                <w:sz w:val="24"/>
                <w:highlight w:val="none"/>
              </w:rPr>
              <w:t>5</w:t>
            </w:r>
          </w:p>
        </w:tc>
        <w:tc>
          <w:tcPr>
            <w:tcW w:w="1623" w:type="dxa"/>
            <w:tcBorders>
              <w:top w:val="single" w:color="auto" w:sz="4" w:space="0"/>
              <w:left w:val="single" w:color="auto" w:sz="4" w:space="0"/>
              <w:bottom w:val="single" w:color="auto" w:sz="4" w:space="0"/>
              <w:right w:val="single" w:color="auto" w:sz="4" w:space="0"/>
            </w:tcBorders>
            <w:shd w:val="clear" w:color="auto" w:fill="auto"/>
          </w:tcPr>
          <w:p>
            <w:pPr>
              <w:widowControl/>
              <w:spacing w:line="240" w:lineRule="auto"/>
              <w:jc w:val="center"/>
              <w:rPr>
                <w:rFonts w:ascii="仿宋_GB2312" w:hAnsi="等线"/>
                <w:color w:val="000000"/>
                <w:sz w:val="24"/>
                <w:highlight w:val="none"/>
              </w:rPr>
            </w:pPr>
            <w:r>
              <w:rPr>
                <w:rFonts w:ascii="仿宋_GB2312" w:hAnsi="等线"/>
                <w:color w:val="000000"/>
                <w:sz w:val="24"/>
                <w:highlight w:val="none"/>
              </w:rPr>
              <w:t>数字文化娱乐</w:t>
            </w:r>
            <w:r>
              <w:rPr>
                <w:rFonts w:hint="eastAsia" w:ascii="仿宋_GB2312" w:hAnsi="等线"/>
                <w:color w:val="000000"/>
                <w:sz w:val="24"/>
                <w:highlight w:val="none"/>
              </w:rPr>
              <w:t>人才培育基地项目</w:t>
            </w:r>
          </w:p>
        </w:tc>
        <w:tc>
          <w:tcPr>
            <w:tcW w:w="4166" w:type="dxa"/>
            <w:tcBorders>
              <w:top w:val="single" w:color="auto" w:sz="4" w:space="0"/>
              <w:left w:val="nil"/>
              <w:bottom w:val="single" w:color="auto" w:sz="4" w:space="0"/>
              <w:right w:val="single" w:color="auto" w:sz="4" w:space="0"/>
            </w:tcBorders>
            <w:shd w:val="clear" w:color="auto" w:fill="auto"/>
          </w:tcPr>
          <w:p>
            <w:pPr>
              <w:widowControl/>
              <w:spacing w:line="240" w:lineRule="auto"/>
              <w:jc w:val="left"/>
              <w:rPr>
                <w:rFonts w:ascii="仿宋_GB2312" w:hAnsi="等线"/>
                <w:color w:val="000000"/>
                <w:sz w:val="24"/>
                <w:highlight w:val="none"/>
              </w:rPr>
            </w:pPr>
            <w:r>
              <w:rPr>
                <w:rFonts w:hint="eastAsia"/>
                <w:sz w:val="24"/>
                <w:highlight w:val="none"/>
              </w:rPr>
              <w:t>大力推进本市数字文化娱乐人才培训产业的持续发展，壮大培训基地规模，力争成为全省数字文化娱乐人才培训高地。</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管委会、市教体局等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6</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工业互联网产学研交流平台建设</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定期组织产学研交流活动，逐步扩大宜春工业互联网产学研交流平台的影响力。</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市工信局、</w:t>
            </w:r>
            <w:r>
              <w:rPr>
                <w:rFonts w:ascii="仿宋_GB2312" w:hAnsi="等线"/>
                <w:color w:val="000000"/>
                <w:sz w:val="24"/>
                <w:highlight w:val="none"/>
              </w:rPr>
              <w:t>宜阳新区</w:t>
            </w:r>
            <w:r>
              <w:rPr>
                <w:rFonts w:hint="eastAsia" w:ascii="仿宋_GB2312" w:hAnsi="等线"/>
                <w:color w:val="000000"/>
                <w:sz w:val="24"/>
                <w:highlight w:val="none"/>
              </w:rPr>
              <w:t>管委会等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r>
              <w:rPr>
                <w:rFonts w:ascii="仿宋_GB2312" w:hAnsi="等线" w:cs="宋体"/>
                <w:color w:val="000000"/>
                <w:kern w:val="0"/>
                <w:sz w:val="24"/>
                <w:szCs w:val="24"/>
                <w:highlight w:val="none"/>
              </w:rPr>
              <w:t>7</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智能制造和工业互联网人才培养基地建设</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依托智能制造和工业互联网人才培养基地，持续培养智能制造、工业互联网、工业大数据相关实施人才，促进宜春工业企业智能化改造和提升。</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管委会、市工信局、市教体局等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18</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工业互联网及工业大数据产业化项目</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依托工业互联网企业和工业互联网平台开展工业大数据应用研发创新，围绕中医药、锂电新能源和建材等优势产业，打造虚拟设计与虚拟制造、生产工艺与流程优化、设备预测维护、智能生产排程、产品质量优化、协同研发与制造、供应链配送体系优化和用户需求挖掘等工业大数据应用，推进制造业服务化转型，推动工业互联网及工业大数据产业化。</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ascii="仿宋_GB2312" w:hAnsi="等线"/>
                <w:color w:val="000000"/>
                <w:sz w:val="24"/>
                <w:highlight w:val="none"/>
              </w:rPr>
              <w:t>宜阳新区</w:t>
            </w:r>
            <w:r>
              <w:rPr>
                <w:rFonts w:hint="eastAsia" w:ascii="仿宋_GB2312" w:hAnsi="等线"/>
                <w:color w:val="000000"/>
                <w:sz w:val="24"/>
                <w:highlight w:val="none"/>
              </w:rPr>
              <w:t>管委会、市工信局等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19</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人工智能应用示范</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推广人工智能应用，实现智能网联汽车、智能服务机器人量产。</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市工信局等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20</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公共服务区块链应用创新示范项目</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与国内领先的区块链技术服务商及解决方案提供商合作，打造5-6个基于区块链的省级公共服务创新示范应用，面向全国范围大力宣传。</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宜阳新区管委会、市科技局、市商务局、市大数据局等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21</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金融区块链应用创新示范项目</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开展供应链金融、保险、企业资产管理等业务的区块链应用尝试，打造2-3个基于区块链的省级金融领域创新示范应用，面向全国范围大力宣传。</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宜阳新区管委会、市科技局、市商务局、市政府金融办等</w:t>
            </w:r>
          </w:p>
        </w:tc>
      </w:tr>
      <w:tr>
        <w:tblPrEx>
          <w:tblLayout w:type="fixed"/>
          <w:tblCellMar>
            <w:top w:w="0" w:type="dxa"/>
            <w:left w:w="108" w:type="dxa"/>
            <w:bottom w:w="0" w:type="dxa"/>
            <w:right w:w="108" w:type="dxa"/>
          </w:tblCellMar>
        </w:tblPrEx>
        <w:trPr>
          <w:trHeight w:val="40" w:hRule="atLeast"/>
        </w:trPr>
        <w:tc>
          <w:tcPr>
            <w:tcW w:w="46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22</w:t>
            </w:r>
          </w:p>
        </w:tc>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olor w:val="000000"/>
                <w:sz w:val="24"/>
                <w:highlight w:val="none"/>
              </w:rPr>
            </w:pPr>
            <w:r>
              <w:rPr>
                <w:rFonts w:hint="eastAsia" w:ascii="仿宋_GB2312" w:hAnsi="等线"/>
                <w:color w:val="000000"/>
                <w:sz w:val="24"/>
                <w:highlight w:val="none"/>
              </w:rPr>
              <w:t>溯源区块链应用创新示范项目</w:t>
            </w:r>
          </w:p>
        </w:tc>
        <w:tc>
          <w:tcPr>
            <w:tcW w:w="416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联合本地企业与区块链企业开展区块链溯源应用研究，着重发展特色农产品、中医药等区块链溯源应用，打造5-6个基于区块链的省级溯源领域创新示范应用，面向全国范围大力宣传。</w:t>
            </w:r>
          </w:p>
        </w:tc>
        <w:tc>
          <w:tcPr>
            <w:tcW w:w="2265" w:type="dxa"/>
            <w:tcBorders>
              <w:top w:val="single" w:color="auto" w:sz="4" w:space="0"/>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s="宋体"/>
                <w:color w:val="000000"/>
                <w:kern w:val="0"/>
                <w:sz w:val="24"/>
                <w:szCs w:val="24"/>
                <w:highlight w:val="none"/>
              </w:rPr>
              <w:t>宜阳新区管委会、市科技局、市商务局、市市场监督局、</w:t>
            </w:r>
            <w:r>
              <w:rPr>
                <w:rFonts w:hint="eastAsia" w:ascii="仿宋_GB2312" w:hAnsi="等线"/>
                <w:color w:val="000000"/>
                <w:sz w:val="24"/>
                <w:highlight w:val="none"/>
              </w:rPr>
              <w:t>市农业农村局等</w:t>
            </w:r>
          </w:p>
        </w:tc>
      </w:tr>
    </w:tbl>
    <w:p>
      <w:pPr>
        <w:pStyle w:val="4"/>
        <w:rPr>
          <w:highlight w:val="none"/>
        </w:rPr>
      </w:pPr>
      <w:bookmarkStart w:id="427" w:name="_Toc528843223"/>
      <w:r>
        <w:rPr>
          <w:rFonts w:hint="eastAsia"/>
          <w:highlight w:val="none"/>
        </w:rPr>
        <w:t>（四）运营体系推进策略</w:t>
      </w:r>
      <w:bookmarkEnd w:id="427"/>
    </w:p>
    <w:p>
      <w:pPr>
        <w:pStyle w:val="5"/>
        <w:spacing w:line="377" w:lineRule="auto"/>
        <w:rPr>
          <w:rFonts w:ascii="黑体" w:hAnsi="黑体" w:eastAsia="黑体"/>
          <w:highlight w:val="none"/>
        </w:rPr>
      </w:pPr>
      <w:bookmarkStart w:id="428" w:name="_Toc528843224"/>
      <w:r>
        <w:rPr>
          <w:rFonts w:hint="eastAsia" w:ascii="黑体" w:hAnsi="黑体" w:eastAsia="黑体"/>
          <w:highlight w:val="none"/>
        </w:rPr>
        <w:t>1．2018-2020年筑基期推进计划</w:t>
      </w:r>
      <w:bookmarkEnd w:id="428"/>
    </w:p>
    <w:p>
      <w:pPr>
        <w:ind w:firstLine="560" w:firstLineChars="200"/>
        <w:jc w:val="center"/>
        <w:rPr>
          <w:bCs/>
          <w:highlight w:val="none"/>
        </w:rPr>
      </w:pPr>
      <w:r>
        <w:rPr>
          <w:rFonts w:hint="eastAsia"/>
          <w:bCs/>
          <w:highlight w:val="none"/>
        </w:rPr>
        <w:t>表5</w:t>
      </w:r>
      <w:r>
        <w:rPr>
          <w:bCs/>
          <w:highlight w:val="none"/>
        </w:rPr>
        <w:t>.</w:t>
      </w:r>
      <w:r>
        <w:rPr>
          <w:rFonts w:hint="eastAsia"/>
          <w:bCs/>
          <w:highlight w:val="none"/>
        </w:rPr>
        <w:t>11</w:t>
      </w:r>
      <w:r>
        <w:rPr>
          <w:bCs/>
          <w:highlight w:val="none"/>
        </w:rPr>
        <w:t xml:space="preserve"> </w:t>
      </w:r>
      <w:r>
        <w:rPr>
          <w:rFonts w:hint="eastAsia"/>
          <w:bCs/>
          <w:highlight w:val="none"/>
        </w:rPr>
        <w:t>2018年重点任务推进计划</w:t>
      </w:r>
    </w:p>
    <w:tbl>
      <w:tblPr>
        <w:tblStyle w:val="36"/>
        <w:tblW w:w="8522" w:type="dxa"/>
        <w:tblInd w:w="0" w:type="dxa"/>
        <w:tblLayout w:type="fixed"/>
        <w:tblCellMar>
          <w:top w:w="0" w:type="dxa"/>
          <w:left w:w="108" w:type="dxa"/>
          <w:bottom w:w="0" w:type="dxa"/>
          <w:right w:w="108" w:type="dxa"/>
        </w:tblCellMar>
      </w:tblPr>
      <w:tblGrid>
        <w:gridCol w:w="469"/>
        <w:gridCol w:w="2001"/>
        <w:gridCol w:w="3349"/>
        <w:gridCol w:w="2703"/>
      </w:tblGrid>
      <w:tr>
        <w:tblPrEx>
          <w:tblLayout w:type="fixed"/>
          <w:tblCellMar>
            <w:top w:w="0" w:type="dxa"/>
            <w:left w:w="108" w:type="dxa"/>
            <w:bottom w:w="0" w:type="dxa"/>
            <w:right w:w="108" w:type="dxa"/>
          </w:tblCellMar>
        </w:tblPrEx>
        <w:trPr>
          <w:trHeight w:val="315" w:hRule="atLeast"/>
          <w:tblHeader/>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20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334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703"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200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创新平台建设项目</w:t>
            </w:r>
          </w:p>
        </w:tc>
        <w:tc>
          <w:tcPr>
            <w:tcW w:w="334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完成双创基地、孵化基地的楼宇建设。</w:t>
            </w:r>
          </w:p>
        </w:tc>
        <w:tc>
          <w:tcPr>
            <w:tcW w:w="2703"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宜阳新区管委会、市工信局、市科技局等</w:t>
            </w:r>
          </w:p>
        </w:tc>
      </w:tr>
      <w:tr>
        <w:tblPrEx>
          <w:tblLayout w:type="fixed"/>
          <w:tblCellMar>
            <w:top w:w="0" w:type="dxa"/>
            <w:left w:w="108" w:type="dxa"/>
            <w:bottom w:w="0" w:type="dxa"/>
            <w:right w:w="108" w:type="dxa"/>
          </w:tblCellMar>
        </w:tblPrEx>
        <w:trPr>
          <w:trHeight w:val="4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200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金融平台建设项目</w:t>
            </w:r>
          </w:p>
        </w:tc>
        <w:tc>
          <w:tcPr>
            <w:tcW w:w="334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完成金融平台在运营中心相应的载体的楼宇建设。</w:t>
            </w:r>
          </w:p>
        </w:tc>
        <w:tc>
          <w:tcPr>
            <w:tcW w:w="2703"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宜阳新区委员会、市工信局、中国人民银行宜春市中心支行等</w:t>
            </w:r>
          </w:p>
        </w:tc>
      </w:tr>
      <w:tr>
        <w:tblPrEx>
          <w:tblLayout w:type="fixed"/>
          <w:tblCellMar>
            <w:top w:w="0" w:type="dxa"/>
            <w:left w:w="108" w:type="dxa"/>
            <w:bottom w:w="0" w:type="dxa"/>
            <w:right w:w="108" w:type="dxa"/>
          </w:tblCellMar>
        </w:tblPrEx>
        <w:trPr>
          <w:trHeight w:val="487"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200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人才平台建设项目</w:t>
            </w:r>
          </w:p>
        </w:tc>
        <w:tc>
          <w:tcPr>
            <w:tcW w:w="334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完成人才平台在运营中心相应的载体的楼宇建设。</w:t>
            </w:r>
          </w:p>
        </w:tc>
        <w:tc>
          <w:tcPr>
            <w:tcW w:w="2703"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宜阳新区委员会、市工信局、市人力资源和社会保障局等</w:t>
            </w:r>
          </w:p>
        </w:tc>
      </w:tr>
      <w:tr>
        <w:tblPrEx>
          <w:tblLayout w:type="fixed"/>
          <w:tblCellMar>
            <w:top w:w="0" w:type="dxa"/>
            <w:left w:w="108" w:type="dxa"/>
            <w:bottom w:w="0" w:type="dxa"/>
            <w:right w:w="108" w:type="dxa"/>
          </w:tblCellMar>
        </w:tblPrEx>
        <w:trPr>
          <w:trHeight w:val="1055"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200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公共服务平台建设项目</w:t>
            </w:r>
          </w:p>
        </w:tc>
        <w:tc>
          <w:tcPr>
            <w:tcW w:w="3349"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完成公共服务平台在运营中心相应的载体的楼宇建设。</w:t>
            </w:r>
          </w:p>
        </w:tc>
        <w:tc>
          <w:tcPr>
            <w:tcW w:w="2703"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宜阳新区委员会、市工信局等</w:t>
            </w:r>
          </w:p>
        </w:tc>
      </w:tr>
    </w:tbl>
    <w:p>
      <w:pPr>
        <w:ind w:firstLine="560" w:firstLineChars="200"/>
        <w:jc w:val="center"/>
        <w:rPr>
          <w:bCs/>
          <w:highlight w:val="none"/>
        </w:rPr>
      </w:pPr>
    </w:p>
    <w:p>
      <w:pPr>
        <w:ind w:firstLine="560" w:firstLineChars="200"/>
        <w:jc w:val="center"/>
        <w:rPr>
          <w:bCs/>
          <w:highlight w:val="none"/>
        </w:rPr>
      </w:pPr>
      <w:r>
        <w:rPr>
          <w:rFonts w:hint="eastAsia"/>
          <w:bCs/>
          <w:highlight w:val="none"/>
        </w:rPr>
        <w:t>表5</w:t>
      </w:r>
      <w:r>
        <w:rPr>
          <w:bCs/>
          <w:highlight w:val="none"/>
        </w:rPr>
        <w:t>.</w:t>
      </w:r>
      <w:r>
        <w:rPr>
          <w:rFonts w:hint="eastAsia"/>
          <w:bCs/>
          <w:highlight w:val="none"/>
        </w:rPr>
        <w:t>12</w:t>
      </w:r>
      <w:r>
        <w:rPr>
          <w:bCs/>
          <w:highlight w:val="none"/>
        </w:rPr>
        <w:t xml:space="preserve"> </w:t>
      </w:r>
      <w:r>
        <w:rPr>
          <w:rFonts w:hint="eastAsia"/>
          <w:bCs/>
          <w:highlight w:val="none"/>
        </w:rPr>
        <w:t>2019年重点任务推进计划</w:t>
      </w:r>
    </w:p>
    <w:tbl>
      <w:tblPr>
        <w:tblStyle w:val="36"/>
        <w:tblW w:w="8522" w:type="dxa"/>
        <w:tblInd w:w="0" w:type="dxa"/>
        <w:tblLayout w:type="fixed"/>
        <w:tblCellMar>
          <w:top w:w="0" w:type="dxa"/>
          <w:left w:w="108" w:type="dxa"/>
          <w:bottom w:w="0" w:type="dxa"/>
          <w:right w:w="108" w:type="dxa"/>
        </w:tblCellMar>
      </w:tblPr>
      <w:tblGrid>
        <w:gridCol w:w="469"/>
        <w:gridCol w:w="724"/>
        <w:gridCol w:w="5355"/>
        <w:gridCol w:w="1974"/>
      </w:tblGrid>
      <w:tr>
        <w:tblPrEx>
          <w:tblLayout w:type="fixed"/>
          <w:tblCellMar>
            <w:top w:w="0" w:type="dxa"/>
            <w:left w:w="108" w:type="dxa"/>
            <w:bottom w:w="0" w:type="dxa"/>
            <w:right w:w="108" w:type="dxa"/>
          </w:tblCellMar>
        </w:tblPrEx>
        <w:trPr>
          <w:trHeight w:val="315" w:hRule="atLeast"/>
          <w:tblHeader/>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7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535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1974"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7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创新平台建设项目</w:t>
            </w:r>
          </w:p>
        </w:tc>
        <w:tc>
          <w:tcPr>
            <w:tcW w:w="535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针对创新模式、发展阶段的差异，将双创基地规划建成形式多样的创新载体。建设创业咖啡，为创业者提供交流平台、联合办公环境以及创业生态。建设众创空间，为创新型产业的创业者提供线上、线下的服务支撑。建设孵化器，为初创企业提供空间、财务、政策等服务内容。2、以宜阳新区为核心力量，统筹宜春市各级政府、协会的服务资源，建设创新服务体系。</w:t>
            </w:r>
          </w:p>
        </w:tc>
        <w:tc>
          <w:tcPr>
            <w:tcW w:w="1974"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宜阳新区管委会、市工信局、市科技局等</w:t>
            </w:r>
          </w:p>
        </w:tc>
      </w:tr>
      <w:tr>
        <w:tblPrEx>
          <w:tblLayout w:type="fixed"/>
          <w:tblCellMar>
            <w:top w:w="0" w:type="dxa"/>
            <w:left w:w="108" w:type="dxa"/>
            <w:bottom w:w="0" w:type="dxa"/>
            <w:right w:w="108" w:type="dxa"/>
          </w:tblCellMar>
        </w:tblPrEx>
        <w:trPr>
          <w:trHeight w:val="4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7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金融平台建设项目</w:t>
            </w:r>
          </w:p>
        </w:tc>
        <w:tc>
          <w:tcPr>
            <w:tcW w:w="535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在运营中心规划建设金融服务区，建设金融服务网点，通过租赁等方式吸引服务机构进驻，为企业提供“一站式”服务，提升服务效率和智慧小镇的服务功能；2、以政府大数据发展基金为主体，设立产业引导发展基金，支持智慧小镇大数据创业创新项目孵化。</w:t>
            </w:r>
          </w:p>
        </w:tc>
        <w:tc>
          <w:tcPr>
            <w:tcW w:w="1974"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宜阳新区管委会、市工信局、中国人民银行宜春市中心支行等</w:t>
            </w:r>
          </w:p>
        </w:tc>
      </w:tr>
      <w:tr>
        <w:tblPrEx>
          <w:tblLayout w:type="fixed"/>
          <w:tblCellMar>
            <w:top w:w="0" w:type="dxa"/>
            <w:left w:w="108" w:type="dxa"/>
            <w:bottom w:w="0" w:type="dxa"/>
            <w:right w:w="108" w:type="dxa"/>
          </w:tblCellMar>
        </w:tblPrEx>
        <w:trPr>
          <w:trHeight w:val="487"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7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人才平台建设项目</w:t>
            </w:r>
          </w:p>
        </w:tc>
        <w:tc>
          <w:tcPr>
            <w:tcW w:w="535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建设大数据产业实训基地，提高人才与产业的匹配度。围绕小镇大数据产业的发展领域，建设大数据实训基地，面向在校学生、应届毕业生以及有意进入大数据领域的其他人才，聘请企业专业人员、外部专家等，结合实际企业工作内容，提供培训；2、建设呼叫中心人才培养基地，针对沟通技巧、业务知识、实战训练等进行培训，为智慧小镇呼叫中心输出人才。</w:t>
            </w:r>
          </w:p>
        </w:tc>
        <w:tc>
          <w:tcPr>
            <w:tcW w:w="1974"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宜阳新区管委会、市工信局、市人力资源和社会保障局等</w:t>
            </w:r>
          </w:p>
        </w:tc>
      </w:tr>
      <w:tr>
        <w:tblPrEx>
          <w:tblLayout w:type="fixed"/>
          <w:tblCellMar>
            <w:top w:w="0" w:type="dxa"/>
            <w:left w:w="108" w:type="dxa"/>
            <w:bottom w:w="0" w:type="dxa"/>
            <w:right w:w="108" w:type="dxa"/>
          </w:tblCellMar>
        </w:tblPrEx>
        <w:trPr>
          <w:trHeight w:val="1055"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72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公共服务平台建设项目</w:t>
            </w:r>
          </w:p>
        </w:tc>
        <w:tc>
          <w:tcPr>
            <w:tcW w:w="535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建设展厅，利用VR等技术手段，为智慧小镇企业提供展示服务；2、为智慧小镇企业提供物业、管理、园区公共信息等服务。在智慧小镇配置信息发布的显示屏、二维码标示等，在主要建筑物一层大厅内设置触摸屏、二维码标示牌等，进行信息导引多媒体查询，支持智能手机等终端查询，建设智慧型小镇。</w:t>
            </w:r>
          </w:p>
        </w:tc>
        <w:tc>
          <w:tcPr>
            <w:tcW w:w="1974"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宜阳新区管委会、市工信局等</w:t>
            </w:r>
          </w:p>
        </w:tc>
      </w:tr>
    </w:tbl>
    <w:p>
      <w:pPr>
        <w:ind w:firstLine="560" w:firstLineChars="200"/>
        <w:jc w:val="center"/>
        <w:rPr>
          <w:bCs/>
          <w:highlight w:val="none"/>
        </w:rPr>
      </w:pPr>
    </w:p>
    <w:p>
      <w:pPr>
        <w:ind w:firstLine="560" w:firstLineChars="200"/>
        <w:jc w:val="center"/>
        <w:rPr>
          <w:bCs/>
          <w:highlight w:val="none"/>
        </w:rPr>
      </w:pPr>
      <w:r>
        <w:rPr>
          <w:rFonts w:hint="eastAsia"/>
          <w:bCs/>
          <w:highlight w:val="none"/>
        </w:rPr>
        <w:t>表5</w:t>
      </w:r>
      <w:r>
        <w:rPr>
          <w:bCs/>
          <w:highlight w:val="none"/>
        </w:rPr>
        <w:t>.1</w:t>
      </w:r>
      <w:r>
        <w:rPr>
          <w:rFonts w:hint="eastAsia"/>
          <w:bCs/>
          <w:highlight w:val="none"/>
        </w:rPr>
        <w:t>3</w:t>
      </w:r>
      <w:r>
        <w:rPr>
          <w:bCs/>
          <w:highlight w:val="none"/>
        </w:rPr>
        <w:t xml:space="preserve"> </w:t>
      </w:r>
      <w:r>
        <w:rPr>
          <w:rFonts w:hint="eastAsia"/>
          <w:bCs/>
          <w:highlight w:val="none"/>
        </w:rPr>
        <w:t>2020年重点任务推进计划</w:t>
      </w:r>
    </w:p>
    <w:tbl>
      <w:tblPr>
        <w:tblStyle w:val="36"/>
        <w:tblW w:w="8522" w:type="dxa"/>
        <w:tblInd w:w="0" w:type="dxa"/>
        <w:tblLayout w:type="fixed"/>
        <w:tblCellMar>
          <w:top w:w="0" w:type="dxa"/>
          <w:left w:w="108" w:type="dxa"/>
          <w:bottom w:w="0" w:type="dxa"/>
          <w:right w:w="108" w:type="dxa"/>
        </w:tblCellMar>
      </w:tblPr>
      <w:tblGrid>
        <w:gridCol w:w="469"/>
        <w:gridCol w:w="1273"/>
        <w:gridCol w:w="4660"/>
        <w:gridCol w:w="2120"/>
      </w:tblGrid>
      <w:tr>
        <w:tblPrEx>
          <w:tblLayout w:type="fixed"/>
          <w:tblCellMar>
            <w:top w:w="0" w:type="dxa"/>
            <w:left w:w="108" w:type="dxa"/>
            <w:bottom w:w="0" w:type="dxa"/>
            <w:right w:w="108" w:type="dxa"/>
          </w:tblCellMar>
        </w:tblPrEx>
        <w:trPr>
          <w:trHeight w:val="315" w:hRule="atLeast"/>
          <w:tblHeader/>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6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27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创新平台建设项目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引入外部资源进行合作，壮大创新平台的服务支撑能力。引入腾讯众创空间等互联网企业，提供互联网平台资源的方式提供创新创业帮扶。引入本地优势产业龙头企业、产业联盟基于业务优势为创业创新提供产业链服务。引入科研机构、高校基于专业学科优势为创业创新提供技术支撑。</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宜阳新区管委会、市工信局、市科技局等</w:t>
            </w:r>
          </w:p>
        </w:tc>
      </w:tr>
      <w:tr>
        <w:tblPrEx>
          <w:tblLayout w:type="fixed"/>
          <w:tblCellMar>
            <w:top w:w="0" w:type="dxa"/>
            <w:left w:w="108" w:type="dxa"/>
            <w:bottom w:w="0" w:type="dxa"/>
            <w:right w:w="108" w:type="dxa"/>
          </w:tblCellMar>
        </w:tblPrEx>
        <w:trPr>
          <w:trHeight w:val="4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27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金融平台建设项目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引入商业银行，构建以商业银行为主体，多种所有制和经营方式并存的多元化金融服务体系，增强金融市场供给能力和资源配置效率，满足企业的多元化金融服务需求，保障企业发展资金，重点为有前景的中小企业、创业公司提供资金保障。完善科技融资、知识产权融资等多种融资模式。</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宜阳新区管委会、市工信局、中国人民银行宜春市中心支行等</w:t>
            </w:r>
          </w:p>
        </w:tc>
      </w:tr>
      <w:tr>
        <w:tblPrEx>
          <w:tblLayout w:type="fixed"/>
          <w:tblCellMar>
            <w:top w:w="0" w:type="dxa"/>
            <w:left w:w="108" w:type="dxa"/>
            <w:bottom w:w="0" w:type="dxa"/>
            <w:right w:w="108" w:type="dxa"/>
          </w:tblCellMar>
        </w:tblPrEx>
        <w:trPr>
          <w:trHeight w:val="487"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27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人才平台建设项目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依托全市大数据产业人才战略，利用市里资源，建立信息库，重点掌握在外地高校就读、科研机构以及大数据企业工作的人才信息，畅通人才引进信息渠道；2、与本地以及周边高校合作，培养产业发展急需人才；3、加强与北京、上海、广州等发展先进地区的交流合作，邀请专家到智慧小镇培训、讲学，引进高端人才；4、把招商引资与招才引智相结合，坚持科技引智、示范基地和项目引人，资金、项目引进与人才、智力引进相结合，力争引进一个项目，带进一批人才和一些先进技术；实施一个项目，培养提高一批人才；5、加强与全国大型人才市场和中介机构的合作机制，充分发挥人才市场配置人才资源作用，通过市场引进智慧小镇需要的人才和智力；6、发挥现有人才作用，开展“以才引才”。</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宜阳新区管委会、市工信局、市人力资源和社会保障局等</w:t>
            </w:r>
          </w:p>
        </w:tc>
      </w:tr>
      <w:tr>
        <w:tblPrEx>
          <w:tblLayout w:type="fixed"/>
          <w:tblCellMar>
            <w:top w:w="0" w:type="dxa"/>
            <w:left w:w="108" w:type="dxa"/>
            <w:bottom w:w="0" w:type="dxa"/>
            <w:right w:w="108" w:type="dxa"/>
          </w:tblCellMar>
        </w:tblPrEx>
        <w:trPr>
          <w:trHeight w:val="1055"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27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公共服务平台建设项目</w:t>
            </w:r>
          </w:p>
        </w:tc>
        <w:tc>
          <w:tcPr>
            <w:tcW w:w="466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开展政策宣讲与信息推送服务，为智慧小镇企业提供政策推送、政策讲解、企业申报等服务。提供政策协调服务，代表智慧小镇企业向上反映政策诉求，开展协调工作。提供政务一站式服务，包括工商注册、企业资质申请、项目审批管理、出入境等服务，组织专业服务机构提供政策咨询、代办服务。</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宜阳新区管委会、市工信局等</w:t>
            </w:r>
          </w:p>
        </w:tc>
      </w:tr>
    </w:tbl>
    <w:p>
      <w:pPr>
        <w:pStyle w:val="5"/>
        <w:spacing w:line="377" w:lineRule="auto"/>
        <w:rPr>
          <w:rFonts w:ascii="黑体" w:hAnsi="黑体" w:eastAsia="黑体"/>
          <w:highlight w:val="none"/>
        </w:rPr>
      </w:pPr>
      <w:bookmarkStart w:id="429" w:name="_Toc528843225"/>
      <w:r>
        <w:rPr>
          <w:rFonts w:hint="eastAsia" w:ascii="黑体" w:hAnsi="黑体" w:eastAsia="黑体"/>
          <w:highlight w:val="none"/>
        </w:rPr>
        <w:t>2．2021-202</w:t>
      </w:r>
      <w:r>
        <w:rPr>
          <w:rFonts w:ascii="黑体" w:hAnsi="黑体" w:eastAsia="黑体"/>
          <w:highlight w:val="none"/>
        </w:rPr>
        <w:t>5</w:t>
      </w:r>
      <w:r>
        <w:rPr>
          <w:rFonts w:hint="eastAsia" w:ascii="黑体" w:hAnsi="黑体" w:eastAsia="黑体"/>
          <w:highlight w:val="none"/>
        </w:rPr>
        <w:t>年集聚期推进计划</w:t>
      </w:r>
      <w:bookmarkEnd w:id="429"/>
    </w:p>
    <w:p>
      <w:pPr>
        <w:ind w:firstLine="560" w:firstLineChars="200"/>
        <w:jc w:val="center"/>
        <w:rPr>
          <w:bCs/>
          <w:highlight w:val="none"/>
        </w:rPr>
      </w:pPr>
      <w:r>
        <w:rPr>
          <w:rFonts w:hint="eastAsia"/>
          <w:bCs/>
          <w:highlight w:val="none"/>
        </w:rPr>
        <w:t>表5.</w:t>
      </w:r>
      <w:r>
        <w:rPr>
          <w:bCs/>
          <w:highlight w:val="none"/>
        </w:rPr>
        <w:t>1</w:t>
      </w:r>
      <w:r>
        <w:rPr>
          <w:rFonts w:hint="eastAsia"/>
          <w:bCs/>
          <w:highlight w:val="none"/>
        </w:rPr>
        <w:t>4</w:t>
      </w:r>
      <w:r>
        <w:rPr>
          <w:bCs/>
          <w:highlight w:val="none"/>
        </w:rPr>
        <w:t xml:space="preserve"> </w:t>
      </w:r>
      <w:r>
        <w:rPr>
          <w:rFonts w:hint="eastAsia"/>
          <w:bCs/>
          <w:highlight w:val="none"/>
        </w:rPr>
        <w:t>202</w:t>
      </w:r>
      <w:r>
        <w:rPr>
          <w:bCs/>
          <w:highlight w:val="none"/>
        </w:rPr>
        <w:t>1</w:t>
      </w:r>
      <w:r>
        <w:rPr>
          <w:rFonts w:hint="eastAsia"/>
          <w:bCs/>
          <w:highlight w:val="none"/>
        </w:rPr>
        <w:t>-20</w:t>
      </w:r>
      <w:r>
        <w:rPr>
          <w:bCs/>
          <w:highlight w:val="none"/>
        </w:rPr>
        <w:t>25</w:t>
      </w:r>
      <w:r>
        <w:rPr>
          <w:rFonts w:hint="eastAsia"/>
          <w:bCs/>
          <w:highlight w:val="none"/>
        </w:rPr>
        <w:t>年重点任务推进计划</w:t>
      </w:r>
    </w:p>
    <w:tbl>
      <w:tblPr>
        <w:tblStyle w:val="36"/>
        <w:tblW w:w="8522" w:type="dxa"/>
        <w:tblInd w:w="0" w:type="dxa"/>
        <w:tblLayout w:type="fixed"/>
        <w:tblCellMar>
          <w:top w:w="0" w:type="dxa"/>
          <w:left w:w="108" w:type="dxa"/>
          <w:bottom w:w="0" w:type="dxa"/>
          <w:right w:w="108" w:type="dxa"/>
        </w:tblCellMar>
      </w:tblPr>
      <w:tblGrid>
        <w:gridCol w:w="469"/>
        <w:gridCol w:w="1563"/>
        <w:gridCol w:w="4370"/>
        <w:gridCol w:w="2120"/>
      </w:tblGrid>
      <w:tr>
        <w:tblPrEx>
          <w:tblLayout w:type="fixed"/>
          <w:tblCellMar>
            <w:top w:w="0" w:type="dxa"/>
            <w:left w:w="108" w:type="dxa"/>
            <w:bottom w:w="0" w:type="dxa"/>
            <w:right w:w="108" w:type="dxa"/>
          </w:tblCellMar>
        </w:tblPrEx>
        <w:trPr>
          <w:trHeight w:val="315" w:hRule="atLeast"/>
          <w:tblHeader/>
        </w:trPr>
        <w:tc>
          <w:tcPr>
            <w:tcW w:w="46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56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37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2120" w:type="dxa"/>
            <w:tcBorders>
              <w:top w:val="single" w:color="auto" w:sz="4" w:space="0"/>
              <w:left w:val="nil"/>
              <w:bottom w:val="single" w:color="auto" w:sz="4" w:space="0"/>
              <w:right w:val="single" w:color="auto" w:sz="4" w:space="0"/>
            </w:tcBorders>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Layout w:type="fixed"/>
          <w:tblCellMar>
            <w:top w:w="0" w:type="dxa"/>
            <w:left w:w="108" w:type="dxa"/>
            <w:bottom w:w="0" w:type="dxa"/>
            <w:right w:w="108" w:type="dxa"/>
          </w:tblCellMar>
        </w:tblPrEx>
        <w:trPr>
          <w:trHeight w:val="286"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56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创新平台建设项目</w:t>
            </w:r>
          </w:p>
        </w:tc>
        <w:tc>
          <w:tcPr>
            <w:tcW w:w="437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举办双创大赛，营造智慧小镇双创氛围，提高社会影响力。</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宜阳新区管委会、市工信局、市科技局等</w:t>
            </w:r>
          </w:p>
        </w:tc>
      </w:tr>
      <w:tr>
        <w:tblPrEx>
          <w:tblLayout w:type="fixed"/>
          <w:tblCellMar>
            <w:top w:w="0" w:type="dxa"/>
            <w:left w:w="108" w:type="dxa"/>
            <w:bottom w:w="0" w:type="dxa"/>
            <w:right w:w="108" w:type="dxa"/>
          </w:tblCellMar>
        </w:tblPrEx>
        <w:trPr>
          <w:trHeight w:val="40"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56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金融平台建设项目</w:t>
            </w:r>
          </w:p>
        </w:tc>
        <w:tc>
          <w:tcPr>
            <w:tcW w:w="437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1、探索以P2P、众筹为代表的互联网融资模式，推动产业聚集与升级；2、积极引入天使投资、风险投资、PPP投资等融资模式，助力智慧小镇发展建设。</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宜阳新区管委会、市工信局、中国人民银行宜春市中心支行等</w:t>
            </w:r>
          </w:p>
        </w:tc>
      </w:tr>
      <w:tr>
        <w:tblPrEx>
          <w:tblLayout w:type="fixed"/>
          <w:tblCellMar>
            <w:top w:w="0" w:type="dxa"/>
            <w:left w:w="108" w:type="dxa"/>
            <w:bottom w:w="0" w:type="dxa"/>
            <w:right w:w="108" w:type="dxa"/>
          </w:tblCellMar>
        </w:tblPrEx>
        <w:trPr>
          <w:trHeight w:val="487"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56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人才平台建设项目</w:t>
            </w:r>
          </w:p>
        </w:tc>
        <w:tc>
          <w:tcPr>
            <w:tcW w:w="437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完善人才服务体系，提供档案保管、职称评定等各项服务，解除人才的后顾之忧。营造人才发挥作用的良好环境，鼓励、支持、帮助人才干事业，让各类人才都有施展才能、发挥专长、贡献力量的空间。</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宜阳新区管委会、市工信局、市人力资源和社会保障局等</w:t>
            </w:r>
          </w:p>
        </w:tc>
      </w:tr>
      <w:tr>
        <w:tblPrEx>
          <w:tblLayout w:type="fixed"/>
          <w:tblCellMar>
            <w:top w:w="0" w:type="dxa"/>
            <w:left w:w="108" w:type="dxa"/>
            <w:bottom w:w="0" w:type="dxa"/>
            <w:right w:w="108" w:type="dxa"/>
          </w:tblCellMar>
        </w:tblPrEx>
        <w:trPr>
          <w:trHeight w:val="1055" w:hRule="atLeast"/>
        </w:trPr>
        <w:tc>
          <w:tcPr>
            <w:tcW w:w="469" w:type="dxa"/>
            <w:tcBorders>
              <w:top w:val="nil"/>
              <w:left w:val="single" w:color="auto" w:sz="4" w:space="0"/>
              <w:bottom w:val="single" w:color="auto" w:sz="4" w:space="0"/>
              <w:right w:val="single" w:color="auto" w:sz="4" w:space="0"/>
            </w:tcBorders>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563"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公共服务平台建设项目</w:t>
            </w:r>
          </w:p>
        </w:tc>
        <w:tc>
          <w:tcPr>
            <w:tcW w:w="4370"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1、开展商业洽谈会，加强企业宣传、产品推广、市场营销等服务。与政府开展合作，为政府采购搭桥建路；2、加强智慧小镇企业与科研院所的对接，提供科技成果转化、技术项目交易服务、校企合作、科技中介、技术应用示范等产学研对接服务。建设公共实验室、推进实验室设备、测试设备共享等公共研发服务。</w:t>
            </w:r>
          </w:p>
        </w:tc>
        <w:tc>
          <w:tcPr>
            <w:tcW w:w="2120" w:type="dxa"/>
            <w:tcBorders>
              <w:top w:val="nil"/>
              <w:left w:val="nil"/>
              <w:bottom w:val="single" w:color="auto" w:sz="4" w:space="0"/>
              <w:right w:val="single" w:color="auto" w:sz="4" w:space="0"/>
            </w:tcBorders>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宜阳新区管委会、市工信局等</w:t>
            </w:r>
          </w:p>
        </w:tc>
      </w:tr>
    </w:tbl>
    <w:p>
      <w:pPr>
        <w:pStyle w:val="5"/>
        <w:spacing w:line="377" w:lineRule="auto"/>
        <w:rPr>
          <w:rFonts w:ascii="黑体" w:hAnsi="黑体" w:eastAsia="黑体"/>
          <w:highlight w:val="none"/>
        </w:rPr>
      </w:pPr>
      <w:bookmarkStart w:id="430" w:name="_Toc528843226"/>
      <w:r>
        <w:rPr>
          <w:rFonts w:hint="eastAsia" w:ascii="黑体" w:hAnsi="黑体" w:eastAsia="黑体"/>
          <w:highlight w:val="none"/>
        </w:rPr>
        <w:t>3．2026-2030年飞跃期推进计划</w:t>
      </w:r>
      <w:bookmarkEnd w:id="430"/>
    </w:p>
    <w:p>
      <w:pPr>
        <w:ind w:firstLine="560" w:firstLineChars="200"/>
        <w:jc w:val="center"/>
        <w:rPr>
          <w:bCs/>
          <w:highlight w:val="none"/>
        </w:rPr>
      </w:pPr>
      <w:r>
        <w:rPr>
          <w:rFonts w:hint="eastAsia"/>
          <w:bCs/>
          <w:highlight w:val="none"/>
        </w:rPr>
        <w:t>表5.</w:t>
      </w:r>
      <w:r>
        <w:rPr>
          <w:bCs/>
          <w:highlight w:val="none"/>
        </w:rPr>
        <w:t>1</w:t>
      </w:r>
      <w:r>
        <w:rPr>
          <w:rFonts w:hint="eastAsia"/>
          <w:bCs/>
          <w:highlight w:val="none"/>
        </w:rPr>
        <w:t>5</w:t>
      </w:r>
      <w:r>
        <w:rPr>
          <w:bCs/>
          <w:highlight w:val="none"/>
        </w:rPr>
        <w:t xml:space="preserve"> </w:t>
      </w:r>
      <w:r>
        <w:rPr>
          <w:rFonts w:hint="eastAsia"/>
          <w:bCs/>
          <w:highlight w:val="none"/>
        </w:rPr>
        <w:t>2026-2030年重点任务推进计划</w:t>
      </w:r>
    </w:p>
    <w:tbl>
      <w:tblPr>
        <w:tblStyle w:val="3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1418"/>
        <w:gridCol w:w="4660"/>
        <w:gridCol w:w="1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blHeader/>
        </w:trPr>
        <w:tc>
          <w:tcPr>
            <w:tcW w:w="472" w:type="dxa"/>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序号</w:t>
            </w:r>
          </w:p>
        </w:tc>
        <w:tc>
          <w:tcPr>
            <w:tcW w:w="1418" w:type="dxa"/>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项目名称</w:t>
            </w:r>
          </w:p>
        </w:tc>
        <w:tc>
          <w:tcPr>
            <w:tcW w:w="4660" w:type="dxa"/>
            <w:shd w:val="clear" w:color="auto" w:fill="auto"/>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重点工作</w:t>
            </w:r>
          </w:p>
        </w:tc>
        <w:tc>
          <w:tcPr>
            <w:tcW w:w="1972" w:type="dxa"/>
            <w:vAlign w:val="center"/>
          </w:tcPr>
          <w:p>
            <w:pPr>
              <w:widowControl/>
              <w:spacing w:line="240" w:lineRule="auto"/>
              <w:jc w:val="center"/>
              <w:rPr>
                <w:rFonts w:ascii="仿宋_GB2312" w:hAnsi="等线" w:cs="宋体"/>
                <w:b/>
                <w:bCs/>
                <w:color w:val="000000"/>
                <w:kern w:val="0"/>
                <w:sz w:val="24"/>
                <w:szCs w:val="24"/>
                <w:highlight w:val="none"/>
              </w:rPr>
            </w:pPr>
            <w:r>
              <w:rPr>
                <w:rFonts w:hint="eastAsia" w:ascii="仿宋_GB2312" w:hAnsi="等线" w:cs="宋体"/>
                <w:b/>
                <w:bCs/>
                <w:color w:val="000000"/>
                <w:kern w:val="0"/>
                <w:sz w:val="24"/>
                <w:szCs w:val="24"/>
                <w:highlight w:val="none"/>
              </w:rPr>
              <w:t>责任部门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trPr>
        <w:tc>
          <w:tcPr>
            <w:tcW w:w="472" w:type="dxa"/>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1</w:t>
            </w:r>
          </w:p>
        </w:tc>
        <w:tc>
          <w:tcPr>
            <w:tcW w:w="1418" w:type="dxa"/>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创新平台建设项目</w:t>
            </w:r>
          </w:p>
        </w:tc>
        <w:tc>
          <w:tcPr>
            <w:tcW w:w="4660" w:type="dxa"/>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基于园区产业发展需求，有针对性的引入双创服务资源，探索创新服务新模式，持续推进创新平台建设。</w:t>
            </w:r>
          </w:p>
        </w:tc>
        <w:tc>
          <w:tcPr>
            <w:tcW w:w="1972" w:type="dxa"/>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宜阳新区管委会、市工信局、市科技局等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 w:hRule="atLeast"/>
        </w:trPr>
        <w:tc>
          <w:tcPr>
            <w:tcW w:w="472" w:type="dxa"/>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2</w:t>
            </w:r>
          </w:p>
        </w:tc>
        <w:tc>
          <w:tcPr>
            <w:tcW w:w="1418" w:type="dxa"/>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金融平台建设项目</w:t>
            </w:r>
          </w:p>
        </w:tc>
        <w:tc>
          <w:tcPr>
            <w:tcW w:w="4660" w:type="dxa"/>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利用大数据、区块链等技术手段，加强金融机构与智慧小镇企业的对接，优化金融产品，降低金融风险，提高资金的使用率。</w:t>
            </w:r>
          </w:p>
        </w:tc>
        <w:tc>
          <w:tcPr>
            <w:tcW w:w="1972" w:type="dxa"/>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宜阳新区管委会、市工信局、中国人民银行宜春市中心支行等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472" w:type="dxa"/>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3</w:t>
            </w:r>
          </w:p>
        </w:tc>
        <w:tc>
          <w:tcPr>
            <w:tcW w:w="1418" w:type="dxa"/>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人才平台建设项目</w:t>
            </w:r>
          </w:p>
        </w:tc>
        <w:tc>
          <w:tcPr>
            <w:tcW w:w="4660" w:type="dxa"/>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继续完善人才服务体系。</w:t>
            </w:r>
          </w:p>
        </w:tc>
        <w:tc>
          <w:tcPr>
            <w:tcW w:w="1972" w:type="dxa"/>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宜阳新区管委会、市工信局、市人力资源和社会保障局等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5" w:hRule="atLeast"/>
        </w:trPr>
        <w:tc>
          <w:tcPr>
            <w:tcW w:w="472" w:type="dxa"/>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4</w:t>
            </w:r>
          </w:p>
        </w:tc>
        <w:tc>
          <w:tcPr>
            <w:tcW w:w="1418" w:type="dxa"/>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olor w:val="000000"/>
                <w:sz w:val="24"/>
                <w:highlight w:val="none"/>
              </w:rPr>
              <w:t>公共服务平台建设项目</w:t>
            </w:r>
          </w:p>
        </w:tc>
        <w:tc>
          <w:tcPr>
            <w:tcW w:w="4660" w:type="dxa"/>
            <w:shd w:val="clear" w:color="auto" w:fill="auto"/>
            <w:vAlign w:val="center"/>
          </w:tcPr>
          <w:p>
            <w:pPr>
              <w:widowControl/>
              <w:spacing w:line="240" w:lineRule="auto"/>
              <w:jc w:val="left"/>
              <w:rPr>
                <w:rFonts w:ascii="仿宋_GB2312" w:hAnsi="等线" w:cs="宋体"/>
                <w:color w:val="000000"/>
                <w:kern w:val="0"/>
                <w:sz w:val="24"/>
                <w:szCs w:val="24"/>
                <w:highlight w:val="none"/>
              </w:rPr>
            </w:pPr>
            <w:r>
              <w:rPr>
                <w:rFonts w:hint="eastAsia" w:ascii="仿宋_GB2312" w:hAnsi="等线"/>
                <w:color w:val="000000"/>
                <w:sz w:val="24"/>
                <w:highlight w:val="none"/>
              </w:rPr>
              <w:t>针对智慧小镇企业的动态需求，不断完善公共服务平台建设。</w:t>
            </w:r>
          </w:p>
        </w:tc>
        <w:tc>
          <w:tcPr>
            <w:tcW w:w="1972" w:type="dxa"/>
            <w:vAlign w:val="center"/>
          </w:tcPr>
          <w:p>
            <w:pPr>
              <w:widowControl/>
              <w:spacing w:line="240" w:lineRule="auto"/>
              <w:jc w:val="left"/>
              <w:rPr>
                <w:rFonts w:ascii="仿宋_GB2312" w:hAnsi="等线"/>
                <w:color w:val="000000"/>
                <w:sz w:val="24"/>
                <w:highlight w:val="none"/>
              </w:rPr>
            </w:pPr>
            <w:r>
              <w:rPr>
                <w:rFonts w:hint="eastAsia" w:ascii="仿宋_GB2312" w:hAnsi="等线"/>
                <w:color w:val="000000"/>
                <w:sz w:val="24"/>
                <w:highlight w:val="none"/>
              </w:rPr>
              <w:t>宜阳新区管委会、市工信局等</w:t>
            </w:r>
          </w:p>
        </w:tc>
      </w:tr>
    </w:tbl>
    <w:p>
      <w:pPr>
        <w:rPr>
          <w:highlight w:val="none"/>
        </w:rPr>
        <w:sectPr>
          <w:footerReference r:id="rId6" w:type="default"/>
          <w:pgSz w:w="11906" w:h="16838"/>
          <w:pgMar w:top="1440" w:right="1800" w:bottom="1440" w:left="1800" w:header="851" w:footer="992" w:gutter="0"/>
          <w:cols w:space="425" w:num="1"/>
          <w:docGrid w:type="lines" w:linePitch="381" w:charSpace="0"/>
        </w:sectPr>
      </w:pPr>
    </w:p>
    <w:p>
      <w:pPr>
        <w:pStyle w:val="3"/>
        <w:rPr>
          <w:highlight w:val="none"/>
        </w:rPr>
      </w:pPr>
      <w:bookmarkStart w:id="431" w:name="_Toc528843227"/>
      <w:r>
        <w:rPr>
          <w:rFonts w:hint="eastAsia"/>
          <w:highlight w:val="none"/>
        </w:rPr>
        <w:t>附表、重点推荐企业名录</w:t>
      </w:r>
      <w:bookmarkEnd w:id="431"/>
    </w:p>
    <w:tbl>
      <w:tblPr>
        <w:tblStyle w:val="36"/>
        <w:tblW w:w="14174" w:type="dxa"/>
        <w:tblInd w:w="0" w:type="dxa"/>
        <w:tblLayout w:type="fixed"/>
        <w:tblCellMar>
          <w:top w:w="0" w:type="dxa"/>
          <w:left w:w="108" w:type="dxa"/>
          <w:bottom w:w="0" w:type="dxa"/>
          <w:right w:w="108" w:type="dxa"/>
        </w:tblCellMar>
      </w:tblPr>
      <w:tblGrid>
        <w:gridCol w:w="591"/>
        <w:gridCol w:w="992"/>
        <w:gridCol w:w="1258"/>
        <w:gridCol w:w="9252"/>
        <w:gridCol w:w="605"/>
        <w:gridCol w:w="1476"/>
      </w:tblGrid>
      <w:tr>
        <w:tblPrEx>
          <w:tblLayout w:type="fixed"/>
          <w:tblCellMar>
            <w:top w:w="0" w:type="dxa"/>
            <w:left w:w="108" w:type="dxa"/>
            <w:bottom w:w="0" w:type="dxa"/>
            <w:right w:w="108" w:type="dxa"/>
          </w:tblCellMar>
        </w:tblPrEx>
        <w:trPr>
          <w:trHeight w:val="660" w:hRule="atLeast"/>
          <w:tblHeader/>
        </w:trPr>
        <w:tc>
          <w:tcPr>
            <w:tcW w:w="5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kern w:val="0"/>
                <w:sz w:val="24"/>
                <w:szCs w:val="24"/>
                <w:highlight w:val="none"/>
              </w:rPr>
            </w:pPr>
            <w:r>
              <w:rPr>
                <w:rFonts w:hint="eastAsia" w:ascii="仿宋_GB2312" w:hAnsi="等线" w:cs="宋体"/>
                <w:b/>
                <w:bCs/>
                <w:kern w:val="0"/>
                <w:sz w:val="24"/>
                <w:szCs w:val="24"/>
                <w:highlight w:val="none"/>
              </w:rPr>
              <w:t>序号</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kern w:val="0"/>
                <w:sz w:val="24"/>
                <w:szCs w:val="24"/>
                <w:highlight w:val="none"/>
              </w:rPr>
            </w:pPr>
            <w:r>
              <w:rPr>
                <w:rFonts w:hint="eastAsia" w:ascii="仿宋_GB2312" w:hAnsi="等线" w:cs="宋体"/>
                <w:b/>
                <w:bCs/>
                <w:kern w:val="0"/>
                <w:sz w:val="24"/>
                <w:szCs w:val="24"/>
                <w:highlight w:val="none"/>
              </w:rPr>
              <w:t>分类</w:t>
            </w:r>
          </w:p>
        </w:tc>
        <w:tc>
          <w:tcPr>
            <w:tcW w:w="1258"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kern w:val="0"/>
                <w:sz w:val="24"/>
                <w:szCs w:val="24"/>
                <w:highlight w:val="none"/>
              </w:rPr>
            </w:pPr>
            <w:r>
              <w:rPr>
                <w:rFonts w:hint="eastAsia" w:ascii="仿宋_GB2312" w:hAnsi="等线" w:cs="宋体"/>
                <w:b/>
                <w:bCs/>
                <w:kern w:val="0"/>
                <w:sz w:val="24"/>
                <w:szCs w:val="24"/>
                <w:highlight w:val="none"/>
              </w:rPr>
              <w:t>企业全称</w:t>
            </w:r>
          </w:p>
        </w:tc>
        <w:tc>
          <w:tcPr>
            <w:tcW w:w="9252"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kern w:val="0"/>
                <w:sz w:val="24"/>
                <w:szCs w:val="24"/>
                <w:highlight w:val="none"/>
              </w:rPr>
            </w:pPr>
            <w:r>
              <w:rPr>
                <w:rFonts w:hint="eastAsia" w:ascii="仿宋_GB2312" w:hAnsi="等线" w:cs="宋体"/>
                <w:b/>
                <w:bCs/>
                <w:kern w:val="0"/>
                <w:sz w:val="24"/>
                <w:szCs w:val="24"/>
                <w:highlight w:val="none"/>
              </w:rPr>
              <w:t>业务及产品介绍</w:t>
            </w:r>
          </w:p>
        </w:tc>
        <w:tc>
          <w:tcPr>
            <w:tcW w:w="60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kern w:val="0"/>
                <w:sz w:val="24"/>
                <w:szCs w:val="24"/>
                <w:highlight w:val="none"/>
              </w:rPr>
            </w:pPr>
            <w:r>
              <w:rPr>
                <w:rFonts w:hint="eastAsia" w:ascii="仿宋_GB2312" w:hAnsi="等线" w:cs="宋体"/>
                <w:b/>
                <w:bCs/>
                <w:kern w:val="0"/>
                <w:sz w:val="24"/>
                <w:szCs w:val="24"/>
                <w:highlight w:val="none"/>
              </w:rPr>
              <w:t>注册地</w:t>
            </w:r>
          </w:p>
        </w:tc>
        <w:tc>
          <w:tcPr>
            <w:tcW w:w="147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b/>
                <w:bCs/>
                <w:kern w:val="0"/>
                <w:sz w:val="24"/>
                <w:szCs w:val="24"/>
                <w:highlight w:val="none"/>
              </w:rPr>
            </w:pPr>
            <w:r>
              <w:rPr>
                <w:rFonts w:hint="eastAsia" w:ascii="仿宋_GB2312" w:hAnsi="等线" w:cs="宋体"/>
                <w:b/>
                <w:bCs/>
                <w:kern w:val="0"/>
                <w:sz w:val="24"/>
                <w:szCs w:val="24"/>
                <w:highlight w:val="none"/>
              </w:rPr>
              <w:t>注册资金（万）</w:t>
            </w:r>
          </w:p>
        </w:tc>
      </w:tr>
      <w:tr>
        <w:tblPrEx>
          <w:tblLayout w:type="fixed"/>
          <w:tblCellMar>
            <w:top w:w="0" w:type="dxa"/>
            <w:left w:w="108" w:type="dxa"/>
            <w:bottom w:w="0" w:type="dxa"/>
            <w:right w:w="108" w:type="dxa"/>
          </w:tblCellMar>
        </w:tblPrEx>
        <w:trPr>
          <w:trHeight w:val="113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智慧</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政务</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神州数码（中国）有限公司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以解决方案为核心，为政务大数据提供通信与信息基础设施建设、数据共享与整合平台搭建服务。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104272.23 </w:t>
            </w:r>
          </w:p>
        </w:tc>
      </w:tr>
      <w:tr>
        <w:tblPrEx>
          <w:tblLayout w:type="fixed"/>
          <w:tblCellMar>
            <w:top w:w="0" w:type="dxa"/>
            <w:left w:w="108" w:type="dxa"/>
            <w:bottom w:w="0" w:type="dxa"/>
            <w:right w:w="108" w:type="dxa"/>
          </w:tblCellMar>
        </w:tblPrEx>
        <w:trPr>
          <w:trHeight w:val="128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北京中软国际信息技术有限公司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依托云计算、大数据、移动互联网等技术，提高政府办公、服务、监管、决策四个领域的智能化水平，在政府信息化领域成为云模式的领先供应商。</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20000.00 </w:t>
            </w:r>
          </w:p>
        </w:tc>
      </w:tr>
      <w:tr>
        <w:tblPrEx>
          <w:tblLayout w:type="fixed"/>
          <w:tblCellMar>
            <w:top w:w="0" w:type="dxa"/>
            <w:left w:w="108" w:type="dxa"/>
            <w:bottom w:w="0" w:type="dxa"/>
            <w:right w:w="108" w:type="dxa"/>
          </w:tblCellMar>
        </w:tblPrEx>
        <w:trPr>
          <w:trHeight w:val="24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北京数字政通科技股份有限公司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专业从事电子政务、数字化城市综合管理和GIS应用平台的开发和推广工作。在网格化城市管理、网格化社会管理、综合执法管理、综合管网管理、国土资源管理、城市规划管理、市政管理和信访管理等城市管理领域拥有广泛的客户案例。同时，为满足中国城市客户不断增长的服务需求，公司还提供二维/三维基础地理数据、实景影像数据、部件数据和人口房屋数据等城市核心应用数据的采集、普查与管理服务，及满足数字城市管理系统运行规范的专业服务外包、坐席托管等各种增值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42456.65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民生服务解决方案提供商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科大讯飞股份有限公司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智慧医疗解决方案。作为讯飞医疗智能语音硬件的入口，实现软件+硬件完美结合，提高产品价值。手持、台式、无线麦克风等多种硬件产品形态，高信噪比，环境适应性强，性能稳定，音质流程清晰，满足用户多样化需求。</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安徽省</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138869.36 </w:t>
            </w:r>
          </w:p>
        </w:tc>
      </w:tr>
      <w:tr>
        <w:tblPrEx>
          <w:tblLayout w:type="fixed"/>
          <w:tblCellMar>
            <w:top w:w="0" w:type="dxa"/>
            <w:left w:w="108" w:type="dxa"/>
            <w:bottom w:w="0" w:type="dxa"/>
            <w:right w:w="108" w:type="dxa"/>
          </w:tblCellMar>
        </w:tblPrEx>
        <w:trPr>
          <w:trHeight w:val="186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成都麦杰康科技有限公司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麦麦养老隶属于成都麦杰康科技有限公司，公司专注智慧照护服务，借助智能可穿戴设备及移动互联网技术，打造最优质的智慧照护管理系统，为中高端养老机构提供简单、安全、可靠的软硬件解决方案，助力养老事业。麦麦养老结合养老机构的应用场景，提供的是一个整体的解决方案。在这个方案中，产品核心是健康云。</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成都市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156.25 </w:t>
            </w:r>
          </w:p>
        </w:tc>
      </w:tr>
      <w:tr>
        <w:tblPrEx>
          <w:tblLayout w:type="fixed"/>
          <w:tblCellMar>
            <w:top w:w="0" w:type="dxa"/>
            <w:left w:w="108" w:type="dxa"/>
            <w:bottom w:w="0" w:type="dxa"/>
            <w:right w:w="108" w:type="dxa"/>
          </w:tblCellMar>
        </w:tblPrEx>
        <w:trPr>
          <w:trHeight w:val="264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贵阳朗玛信息技术股份有限公司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2015年，朗玛信息整合贵阳市的医疗资源，与百度在线、贵阳市政府等共同打造建设贵阳互联网医院，并通过互联网医院的专门科室，为居民提供就近便利的远程诊疗服务。在互联网医院的终端点提供电子血压计、血糖仪、体脂秤、手环等便携和可穿戴设备，在采集用户生理数据的基础上，构建用户健康画像，并基于数据由互联网医院向用户提供健康管理服务。拥有“39健康网”“贵健康”“贵州互联网医院”“39互联网医院”等主打品牌。</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贵阳市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33794.14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民生服务解决方案提供商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东软集团股份有限公司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东软大数据战略以医疗行业为突破口，凭借在社保、医疗行业积累的资源，搭建了东软熙康这一智慧医疗平台。</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沈阳市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124267.80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阿里健康信息技术有限公司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是阿里巴巴集团投资控股的公司之一，拥有云医院平台、阿里健康APP、药品电子监管体系，为用户提供即时、便捷的医药、医疗、健康管理等方面专业服务。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西藏自治区</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300.00 </w:t>
            </w:r>
          </w:p>
        </w:tc>
      </w:tr>
      <w:tr>
        <w:tblPrEx>
          <w:tblLayout w:type="fixed"/>
          <w:tblCellMar>
            <w:top w:w="0" w:type="dxa"/>
            <w:left w:w="108" w:type="dxa"/>
            <w:bottom w:w="0" w:type="dxa"/>
            <w:right w:w="108" w:type="dxa"/>
          </w:tblCellMar>
        </w:tblPrEx>
        <w:trPr>
          <w:trHeight w:val="135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好大夫在线（银川）科技有限公司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中国最大的医疗网站，提供最专业、完善的医疗信息服务，其中包括、医院、医生信息查询中心，医患咨询平台，门诊预约系统，就医经验分享系统等。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银川市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 </w:t>
            </w:r>
          </w:p>
        </w:tc>
      </w:tr>
      <w:tr>
        <w:tblPrEx>
          <w:tblLayout w:type="fixed"/>
          <w:tblCellMar>
            <w:top w:w="0" w:type="dxa"/>
            <w:left w:w="108" w:type="dxa"/>
            <w:bottom w:w="0" w:type="dxa"/>
            <w:right w:w="108" w:type="dxa"/>
          </w:tblCellMar>
        </w:tblPrEx>
        <w:trPr>
          <w:trHeight w:val="193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北京易华录信息技术股份有限公司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以智能交通为主营业务，积极应用大数据、云计算等技术，在云架构基础上开发了新一代城市智能交通管理系统，通过城市智能交通管控平台整合交通资源，让疏导管控信息在管控平台与用户群体间快速定向传递，进而预防或快速消解交通冲突，保障城市路网的安全有序畅通。</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36978.62 </w:t>
            </w:r>
          </w:p>
        </w:tc>
      </w:tr>
      <w:tr>
        <w:tblPrEx>
          <w:tblLayout w:type="fixed"/>
          <w:tblCellMar>
            <w:top w:w="0" w:type="dxa"/>
            <w:left w:w="108" w:type="dxa"/>
            <w:bottom w:w="0" w:type="dxa"/>
            <w:right w:w="108" w:type="dxa"/>
          </w:tblCellMar>
        </w:tblPrEx>
        <w:trPr>
          <w:trHeight w:val="339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智慧</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城市</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管理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中电福富信息科技有限公司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中国电信集团和中国电信集团系统集成公司共同投资设立，同时也是中国电信政务行业信息化应用（福州）基地。2017 年销售收入超过13 亿元人民币，人员规模超过2300 人。为国家规划布局内的重点软件企业、国家软件出口龙头企业、高新技术企业、行业领先的智慧城市综合解决方案提供商和信息服务运营服务商，率先通过了国家壹级计算机信息系统集成资质认证和国际软件成熟度最高级别CMMI L5 评估。公司旗下拥有北京福富软件、福建讯盟软件两家子公司，并在日本、北京、南京、合肥、海南等地设立了分公司及技术支撑中心。业务已遍及34个省级行政区（含港澳台）的电信公司和政企客户。</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福州省</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5000.00 </w:t>
            </w:r>
          </w:p>
        </w:tc>
      </w:tr>
      <w:tr>
        <w:tblPrEx>
          <w:tblLayout w:type="fixed"/>
          <w:tblCellMar>
            <w:top w:w="0" w:type="dxa"/>
            <w:left w:w="108" w:type="dxa"/>
            <w:bottom w:w="0" w:type="dxa"/>
            <w:right w:w="108" w:type="dxa"/>
          </w:tblCellMar>
        </w:tblPrEx>
        <w:trPr>
          <w:trHeight w:val="2944"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12</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智慧</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城市</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管理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杭州天翼智慧城市科技有限公司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由中国电信股份有限公司出资于2015年1月设立的一家国营企业，公司聚焦于政务和城市管理领域，通过提供政务信息化和城市管理系列产品和服务，依托中国电信在行业信息化应用领域的核心优势，通过机制体制创新，为中国智慧城市建设提供全面解决方案和一揽子服务。公司智慧城管、智慧应急、智慧社区、居家养老、政务热线、阳光执法、智慧乡镇、消防、司法、政务云、信息安全等产品在全国得到了广泛应用，并引领着这些行业的发展。</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3700.00 </w:t>
            </w:r>
          </w:p>
        </w:tc>
      </w:tr>
      <w:tr>
        <w:tblPrEx>
          <w:tblLayout w:type="fixed"/>
          <w:tblCellMar>
            <w:top w:w="0" w:type="dxa"/>
            <w:left w:w="108" w:type="dxa"/>
            <w:bottom w:w="0" w:type="dxa"/>
            <w:right w:w="108" w:type="dxa"/>
          </w:tblCellMar>
        </w:tblPrEx>
        <w:trPr>
          <w:trHeight w:val="186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科睿特软件集团股份有限公司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是国家高新技术企业，是大数据、云计算及云服务平台的服务供应商，专注于智慧城市（含智慧社区、智慧旅游、智慧政务、智慧园区、智慧城管、智能工业、智慧教育等领域）信息化软件服务平台开发、销售、运营与服务，同时提供软硬件集成及实施等服务，是云计算中心及软件产业园的建设和运营机构。</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赣州市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5292.00 </w:t>
            </w:r>
          </w:p>
        </w:tc>
      </w:tr>
      <w:tr>
        <w:tblPrEx>
          <w:tblLayout w:type="fixed"/>
          <w:tblCellMar>
            <w:top w:w="0" w:type="dxa"/>
            <w:left w:w="108" w:type="dxa"/>
            <w:bottom w:w="0" w:type="dxa"/>
            <w:right w:w="108" w:type="dxa"/>
          </w:tblCellMar>
        </w:tblPrEx>
        <w:trPr>
          <w:trHeight w:val="108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华为技术有限公司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定位于智慧城市的ICT基础设施提供商，其产品涵盖智慧政务、平安城市、智能交通、智慧园区、智慧教育、智慧医疗等。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3990813.18 </w:t>
            </w:r>
          </w:p>
        </w:tc>
      </w:tr>
      <w:tr>
        <w:tblPrEx>
          <w:tblLayout w:type="fixed"/>
          <w:tblCellMar>
            <w:top w:w="0" w:type="dxa"/>
            <w:left w:w="108" w:type="dxa"/>
            <w:bottom w:w="0" w:type="dxa"/>
            <w:right w:w="108" w:type="dxa"/>
          </w:tblCellMar>
        </w:tblPrEx>
        <w:trPr>
          <w:trHeight w:val="123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中科曙光信息产业成都有限公司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基于云计算技术，提供城市地理信息系统、城市应急、电子政务、平安城市、数字化医院、数字环保、数字社区、数字物流、智慧交通等一揽子解决方案。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成都市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65000.00 </w:t>
            </w:r>
          </w:p>
        </w:tc>
      </w:tr>
      <w:tr>
        <w:tblPrEx>
          <w:tblLayout w:type="fixed"/>
          <w:tblCellMar>
            <w:top w:w="0" w:type="dxa"/>
            <w:left w:w="108" w:type="dxa"/>
            <w:bottom w:w="0" w:type="dxa"/>
            <w:right w:w="108" w:type="dxa"/>
          </w:tblCellMar>
        </w:tblPrEx>
        <w:trPr>
          <w:trHeight w:val="18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中兴通讯股份有限公司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基于城市运营中心，利用云计算、物联网、大数据技术，为现代城市提供数字化、网络化、智能化方案。产品涵盖城市运营中心、平安城市、数字城管、智慧政务、智慧园区、智慧物流、智慧旅游、智慧环保、企业互联、智慧医疗、智慧交通、智慧社区、市民卡等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418589.69 </w:t>
            </w:r>
          </w:p>
        </w:tc>
      </w:tr>
      <w:tr>
        <w:tblPrEx>
          <w:tblLayout w:type="fixed"/>
          <w:tblCellMar>
            <w:top w:w="0" w:type="dxa"/>
            <w:left w:w="108" w:type="dxa"/>
            <w:bottom w:w="0" w:type="dxa"/>
            <w:right w:w="108" w:type="dxa"/>
          </w:tblCellMar>
        </w:tblPrEx>
        <w:trPr>
          <w:trHeight w:val="100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17</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软通动力技术服务有限公司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作为全方位的智慧城市服务及解决方案提供商，软通动力重点关注智慧城市建设中的政务、产业、民生、环保四大领域。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武汉市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40000.00 </w:t>
            </w:r>
          </w:p>
        </w:tc>
      </w:tr>
      <w:tr>
        <w:tblPrEx>
          <w:tblLayout w:type="fixed"/>
          <w:tblCellMar>
            <w:top w:w="0" w:type="dxa"/>
            <w:left w:w="108" w:type="dxa"/>
            <w:bottom w:w="0" w:type="dxa"/>
            <w:right w:w="108" w:type="dxa"/>
          </w:tblCellMar>
        </w:tblPrEx>
        <w:trPr>
          <w:trHeight w:val="161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18</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智慧</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城市</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管理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北京易华录信息技术股份有限公司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以智能交通为主营业务，积极应用大数据、云计算等技术，在云架构基础上开发了新一代城市智能交通管理系统，通过城市智能交通管控平台整合交通资源，让疏导管控信息在管控平台与用户群体间快速定向传递，进而预防或快速消解交通冲突，保障城市路网的安全有序畅通。</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36978.62 </w:t>
            </w:r>
          </w:p>
        </w:tc>
      </w:tr>
      <w:tr>
        <w:tblPrEx>
          <w:tblLayout w:type="fixed"/>
          <w:tblCellMar>
            <w:top w:w="0" w:type="dxa"/>
            <w:left w:w="108" w:type="dxa"/>
            <w:bottom w:w="0" w:type="dxa"/>
            <w:right w:w="108" w:type="dxa"/>
          </w:tblCellMar>
        </w:tblPrEx>
        <w:trPr>
          <w:trHeight w:val="161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北京华宇软件股份有限公司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kern w:val="0"/>
                <w:sz w:val="24"/>
                <w:szCs w:val="24"/>
                <w:highlight w:val="none"/>
              </w:rPr>
            </w:pPr>
            <w:r>
              <w:rPr>
                <w:rFonts w:hint="eastAsia" w:ascii="仿宋_GB2312" w:hAnsi="等线" w:cs="宋体"/>
                <w:kern w:val="0"/>
                <w:sz w:val="24"/>
                <w:szCs w:val="24"/>
                <w:highlight w:val="none"/>
              </w:rPr>
              <w:t>华宇大数据解决方案覆盖数据的获取、存储、共享、维护、应用和消亡等生命周期的每个阶段，对数据资产可能发生的各类问题提供全面的识别、度量、监控及预警，提升数据在使用中的价值，并最终为政府、企业赢得社会效益、经济效益。</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76065.82 </w:t>
            </w:r>
          </w:p>
        </w:tc>
      </w:tr>
      <w:tr>
        <w:tblPrEx>
          <w:tblLayout w:type="fixed"/>
          <w:tblCellMar>
            <w:top w:w="0" w:type="dxa"/>
            <w:left w:w="108" w:type="dxa"/>
            <w:bottom w:w="0" w:type="dxa"/>
            <w:right w:w="108" w:type="dxa"/>
          </w:tblCellMar>
        </w:tblPrEx>
        <w:trPr>
          <w:trHeight w:val="146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20</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w:t>
            </w:r>
          </w:p>
          <w:p>
            <w:pPr>
              <w:widowControl/>
              <w:spacing w:line="240" w:lineRule="auto"/>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文娱</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北京若森数字科技股份有限公司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是一家以原创精品IP为核心，以IT技术为优势竞争力，通过品牌生态运营管理，整合影视动漫、游戏、文学等领域泛娱乐全产业链的互联网企业。公司主营业务包括三维影视技术研发、三维影视制作、品牌发行、品牌运营、游戏运营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4500.00 </w:t>
            </w:r>
          </w:p>
        </w:tc>
      </w:tr>
      <w:tr>
        <w:tblPrEx>
          <w:tblLayout w:type="fixed"/>
          <w:tblCellMar>
            <w:top w:w="0" w:type="dxa"/>
            <w:left w:w="108" w:type="dxa"/>
            <w:bottom w:w="0" w:type="dxa"/>
            <w:right w:w="108" w:type="dxa"/>
          </w:tblCellMar>
        </w:tblPrEx>
        <w:trPr>
          <w:trHeight w:val="163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21</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杭州玄机科技信息技术有限公司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致力坚持梦想，敢于创新，用诚意制作良心品质的好动漫。旗下旗舰品牌为中国首部3D武侠动漫系列剧《秦时明月》，连续多年赢得国内外100多项重量级奖项2011年，杭州玄机科技信息技术有限公司晋升“中国十大优秀原创动画企业”之一</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2970.89 </w:t>
            </w:r>
          </w:p>
        </w:tc>
      </w:tr>
      <w:tr>
        <w:tblPrEx>
          <w:tblLayout w:type="fixed"/>
          <w:tblCellMar>
            <w:top w:w="0" w:type="dxa"/>
            <w:left w:w="108" w:type="dxa"/>
            <w:bottom w:w="0" w:type="dxa"/>
            <w:right w:w="108" w:type="dxa"/>
          </w:tblCellMar>
        </w:tblPrEx>
        <w:trPr>
          <w:trHeight w:val="171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22</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江苏原力电脑动画制作有限公司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业务涵盖自主知识产权动画电影项目和游戏、影视内容制作。成立十多年来，原力凭借精湛的制作技术、丰富的平台资源以及精益求精的态度，终成为国内外数字制作行业公认的佼佼者。是微软、美国艺电、索尼、腾讯、网易、梦工厂、迪士尼等行业巨擘的长期合作伙伴与主承包商。</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2356.43 </w:t>
            </w:r>
          </w:p>
        </w:tc>
      </w:tr>
      <w:tr>
        <w:tblPrEx>
          <w:tblLayout w:type="fixed"/>
          <w:tblCellMar>
            <w:top w:w="0" w:type="dxa"/>
            <w:left w:w="108" w:type="dxa"/>
            <w:bottom w:w="0" w:type="dxa"/>
            <w:right w:w="108" w:type="dxa"/>
          </w:tblCellMar>
        </w:tblPrEx>
        <w:trPr>
          <w:trHeight w:val="156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浙江中南集团卡通影视有限公司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中南集团是浙江中南集团转型升级的创新成果。成立于2003年，是国内最大的原创动画公司之一，致力于原创动画制作、影视节目发行、动漫品牌授权等动漫产业链运营，系首批国家重点动漫企业、国家重点高新技术企业、国家文化出口重点企业、十大最具影响力国家文化产业示范基地。</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10200.00 </w:t>
            </w:r>
          </w:p>
        </w:tc>
      </w:tr>
      <w:tr>
        <w:tblPrEx>
          <w:tblLayout w:type="fixed"/>
          <w:tblCellMar>
            <w:top w:w="0" w:type="dxa"/>
            <w:left w:w="108" w:type="dxa"/>
            <w:bottom w:w="0" w:type="dxa"/>
            <w:right w:w="108" w:type="dxa"/>
          </w:tblCellMar>
        </w:tblPrEx>
        <w:trPr>
          <w:trHeight w:val="161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苏州米粒影视文化传播有限公司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米粒文化是一家致力于电影、动漫的策划、制作、投资、运营、管理、引进、发行、授权、衍生产品开发及销售的国际化专业公司。目标是给全球的观众带来高品质的家庭娱乐体验。2016年11月，米粒影业荣登2016中国泛娱乐指数盛典“中国文娱创新企业榜 TOP30”。</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苏州市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1541.65 </w:t>
            </w:r>
          </w:p>
        </w:tc>
      </w:tr>
      <w:tr>
        <w:tblPrEx>
          <w:tblLayout w:type="fixed"/>
          <w:tblCellMar>
            <w:top w:w="0" w:type="dxa"/>
            <w:left w:w="108" w:type="dxa"/>
            <w:bottom w:w="0" w:type="dxa"/>
            <w:right w:w="108" w:type="dxa"/>
          </w:tblCellMar>
        </w:tblPrEx>
        <w:trPr>
          <w:trHeight w:val="158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25</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w:t>
            </w:r>
          </w:p>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文娱</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上海淘米网络科技有限公司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淘米公司是中国第一家通过线上虚拟社区创建面向儿童寓教于乐的领先儿童娱乐媒体公司。从互联网起家，然后回归到电视、电影、图书、玩具等，打通了电脑、电视、电影和移动终端四大屏幕，原创IP再创作。在这种模式之下，淘米成功推出了“摩尔庄园”“赛尔号”这两个卡通品牌。</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1000.00 </w:t>
            </w:r>
          </w:p>
        </w:tc>
      </w:tr>
      <w:tr>
        <w:tblPrEx>
          <w:tblLayout w:type="fixed"/>
          <w:tblCellMar>
            <w:top w:w="0" w:type="dxa"/>
            <w:left w:w="108" w:type="dxa"/>
            <w:bottom w:w="0" w:type="dxa"/>
            <w:right w:w="108" w:type="dxa"/>
          </w:tblCellMar>
        </w:tblPrEx>
        <w:trPr>
          <w:trHeight w:val="189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上海河马文化科技股份有限公司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河马文化是一家集数字内容制作与营运、虚拟仿真虚拟现实和多媒体互动体验设计研发、影视制作与发行和渠道建设于一体的文化科技类企业。是国内最早以原创3D立体动画为主导的文化科技类企业，目前已形成了国内最大的3D立体数字内容制作团队，具备领先的3D影像及虚拟现实（VR）、虚拟仿真（VS）和混合现实（MR）等技术设计研发能力。</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6500.00 </w:t>
            </w:r>
          </w:p>
        </w:tc>
      </w:tr>
      <w:tr>
        <w:tblPrEx>
          <w:tblLayout w:type="fixed"/>
          <w:tblCellMar>
            <w:top w:w="0" w:type="dxa"/>
            <w:left w:w="108" w:type="dxa"/>
            <w:bottom w:w="0" w:type="dxa"/>
            <w:right w:w="108" w:type="dxa"/>
          </w:tblCellMar>
        </w:tblPrEx>
        <w:trPr>
          <w:trHeight w:val="182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27</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上海美术电影制片厂</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美术电影制片厂是中国规模最大的美术电影制片，亦是中国历史最老的动画制片厂之一，（动画、木偶、剪纸、折纸）基地。美影厂的动画IP质量在国内还是遥遥领先的，如《黑猫警长》《葫芦娃》《雪孩子》。且近年来有复苏之势，美影厂成立60周年之际，美影厂一口气发布了十多部动画电影计划，仅今年就有《大耳朵图图》和《阿凡提》两部院线动画上映。</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1246.00 </w:t>
            </w:r>
          </w:p>
        </w:tc>
      </w:tr>
      <w:tr>
        <w:tblPrEx>
          <w:tblLayout w:type="fixed"/>
          <w:tblCellMar>
            <w:top w:w="0" w:type="dxa"/>
            <w:left w:w="108" w:type="dxa"/>
            <w:bottom w:w="0" w:type="dxa"/>
            <w:right w:w="108" w:type="dxa"/>
          </w:tblCellMar>
        </w:tblPrEx>
        <w:trPr>
          <w:trHeight w:val="20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广东奥飞动漫文化股份有限公司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是奥飞股份旗下以三维动画制作、漫画制作、动画形象设计、版权代理等卡通形象事业为核心业务的动漫文化传播公司。且随着相关子公司和事业部的设立，奥飞股份已经形成一个环环相扣、优势互补的产业链，从动漫内容制作、图书发行、玩具等衍生产品开发制造，乃至形象授权等，奥飞产业链所涵盖的，是一个以动漫文化力量催生市场无限可能的集团型企业。</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广州市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135715.95 </w:t>
            </w:r>
          </w:p>
        </w:tc>
      </w:tr>
      <w:tr>
        <w:tblPrEx>
          <w:tblLayout w:type="fixed"/>
          <w:tblCellMar>
            <w:top w:w="0" w:type="dxa"/>
            <w:left w:w="108" w:type="dxa"/>
            <w:bottom w:w="0" w:type="dxa"/>
            <w:right w:w="108" w:type="dxa"/>
          </w:tblCellMar>
        </w:tblPrEx>
        <w:trPr>
          <w:trHeight w:val="188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29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深圳华强数字动漫有限公司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是深圳华强文化科技集团旗下的一家从事原创动画设计、动画影片制作的专业公司。公司以自有知识产权的旅游产品为开发背景，以2D、3D、手偶系列剧、卡通形象设计、卡通娱乐节目为主要开发内容，以电视台、电影院、主题公园、网络、DVD音像制品为市场开拓平台，打造了原创动漫品牌——方特卡通。</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1000.00 </w:t>
            </w:r>
          </w:p>
        </w:tc>
      </w:tr>
      <w:tr>
        <w:tblPrEx>
          <w:tblLayout w:type="fixed"/>
          <w:tblCellMar>
            <w:top w:w="0" w:type="dxa"/>
            <w:left w:w="108" w:type="dxa"/>
            <w:bottom w:w="0" w:type="dxa"/>
            <w:right w:w="108" w:type="dxa"/>
          </w:tblCellMar>
        </w:tblPrEx>
        <w:trPr>
          <w:trHeight w:val="126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武汉博润通文化科技股份有限公司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致力于做专业少儿动漫运营商，是文化部认定的动漫企业。该公司的主打作品是《木奇灵》，并以其为基础，深度切入植物“产业”，包括TV节目和玩具等等。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武汉市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2501.00 </w:t>
            </w:r>
          </w:p>
        </w:tc>
      </w:tr>
      <w:tr>
        <w:tblPrEx>
          <w:tblLayout w:type="fixed"/>
          <w:tblCellMar>
            <w:top w:w="0" w:type="dxa"/>
            <w:left w:w="108" w:type="dxa"/>
            <w:bottom w:w="0" w:type="dxa"/>
            <w:right w:w="108" w:type="dxa"/>
          </w:tblCellMar>
        </w:tblPrEx>
        <w:trPr>
          <w:trHeight w:val="126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31</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w:t>
            </w:r>
          </w:p>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文娱</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重庆视美动画艺术有限责任公司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视美做2D动画的能力属于国内顶尖，很多原创动画受市场认可，如《缇可》、《莫莫》。目前在与腾讯合作，承接了腾讯（包括阅文）大量漫画和小说的动画化工作，包括《爱神巧克力》《枪神纪》等等。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重庆市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1500.00 </w:t>
            </w:r>
          </w:p>
        </w:tc>
      </w:tr>
      <w:tr>
        <w:tblPrEx>
          <w:tblLayout w:type="fixed"/>
          <w:tblCellMar>
            <w:top w:w="0" w:type="dxa"/>
            <w:left w:w="108" w:type="dxa"/>
            <w:bottom w:w="0" w:type="dxa"/>
            <w:right w:w="108" w:type="dxa"/>
          </w:tblCellMar>
        </w:tblPrEx>
        <w:trPr>
          <w:trHeight w:val="96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32</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w:t>
            </w:r>
          </w:p>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文娱</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深圳市腾讯计算机系统有限公司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腾讯是中国最大的互联网综合服务提供商之一，也是中国服务用户最多的互联网企业之一。腾讯多元化的服务包括：社交和通信服务QQ及微信/WeChat、社交网络平台QQ空间、腾讯游戏旗下QQ游戏平台、门户网站腾讯网、腾讯新闻客户端和网络视频服务腾讯视频等。腾讯游戏已拥有休闲游戏平台、大型网游、中型休闲游戏、桌面游戏、对战平台五大类逾六十款游戏。腾讯动漫拥有PC站、腾讯动漫APP、 H5产品，并且与手机QQ合作开发QQ动漫。</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6500.00 </w:t>
            </w:r>
          </w:p>
        </w:tc>
      </w:tr>
      <w:tr>
        <w:tblPrEx>
          <w:tblLayout w:type="fixed"/>
          <w:tblCellMar>
            <w:top w:w="0" w:type="dxa"/>
            <w:left w:w="108" w:type="dxa"/>
            <w:bottom w:w="0" w:type="dxa"/>
            <w:right w:w="108" w:type="dxa"/>
          </w:tblCellMar>
        </w:tblPrEx>
        <w:trPr>
          <w:trHeight w:val="273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网易公司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在开发互联网应用、服务及其它技术方面，网易在推出了包括中文全文检索、全中文大容量免费邮件系统、无限容量免费网络相册、免费电子贺卡站、网上虚拟社区、网上拍卖平台、24小时客户服务中心在内的业内领先产品或服务，还通过自主研发推出了国产网络游戏。网易公司还推出了门户网站、在线游戏、电子邮箱、在线教育、电子商务、在线音乐、网易bobo等多种服务。其中电竞业务包括赛事搭建、选手及俱乐部扶持、产业开发、新品研发四个维度；直播业务以“ALLSTAR计划”为核心，与直播平台、主播、经纪公司等展开合作。</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$13,760.00 </w:t>
            </w:r>
          </w:p>
        </w:tc>
      </w:tr>
      <w:tr>
        <w:tblPrEx>
          <w:tblLayout w:type="fixed"/>
          <w:tblCellMar>
            <w:top w:w="0" w:type="dxa"/>
            <w:left w:w="108" w:type="dxa"/>
            <w:bottom w:w="0" w:type="dxa"/>
            <w:right w:w="108" w:type="dxa"/>
          </w:tblCellMar>
        </w:tblPrEx>
        <w:trPr>
          <w:trHeight w:val="163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中手游移动科技有限公司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中手游是功能机时代中国地区的移动游戏开发和运营商;随后正式转型智能机游戏，成为国内智能机游戏的移动游戏发行商和排名前十的开发商。以IP为核心，以全球化的视野与产业链上下游紧密合作，深耕IP文化运营，并围绕IP和CP展开积极的投资布局。</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绍兴市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12000.00 </w:t>
            </w:r>
          </w:p>
        </w:tc>
      </w:tr>
      <w:tr>
        <w:tblPrEx>
          <w:tblLayout w:type="fixed"/>
          <w:tblCellMar>
            <w:top w:w="0" w:type="dxa"/>
            <w:left w:w="108" w:type="dxa"/>
            <w:bottom w:w="0" w:type="dxa"/>
            <w:right w:w="108" w:type="dxa"/>
          </w:tblCellMar>
        </w:tblPrEx>
        <w:trPr>
          <w:trHeight w:val="207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深圳市创梦天地科技有限公司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作为文娱用户的服务平台，深圳市创梦天地科技有限公司不仅为用户提供游戏、动漫、原创IP等数字内容，还打造了会员俱乐部、玩家分享社区、游戏社交及线下体验店等多种娱乐场景，旗下的乐逗游戏是中国用户规模份额最高的手游发行商。并且，围绕着手游主业，创梦天地裂变出IP运营、广告、用户增值服务、线下娱乐等业务，并且在AR/VR/AI等下一代计算平台上也有布局和创新。</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36090.01 </w:t>
            </w:r>
          </w:p>
        </w:tc>
      </w:tr>
      <w:tr>
        <w:tblPrEx>
          <w:tblLayout w:type="fixed"/>
          <w:tblCellMar>
            <w:top w:w="0" w:type="dxa"/>
            <w:left w:w="108" w:type="dxa"/>
            <w:bottom w:w="0" w:type="dxa"/>
            <w:right w:w="108" w:type="dxa"/>
          </w:tblCellMar>
        </w:tblPrEx>
        <w:trPr>
          <w:trHeight w:val="158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36</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w:t>
            </w:r>
          </w:p>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文娱</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三七互娱</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旗下拥有37手游、37游戏、37GAMES等全球知名的专业游戏运营平台，以及极光网络、墨</w:t>
            </w:r>
            <w:r>
              <w:rPr>
                <w:rFonts w:hint="eastAsia" w:ascii="等线" w:hAnsi="等线" w:eastAsia="等线" w:cs="宋体"/>
                <w:color w:val="000000"/>
                <w:kern w:val="0"/>
                <w:sz w:val="24"/>
                <w:szCs w:val="24"/>
                <w:highlight w:val="none"/>
              </w:rPr>
              <w:t>鹍</w:t>
            </w:r>
            <w:r>
              <w:rPr>
                <w:rFonts w:hint="eastAsia" w:ascii="仿宋_GB2312" w:hAnsi="等线" w:cs="宋体"/>
                <w:color w:val="000000"/>
                <w:kern w:val="0"/>
                <w:sz w:val="24"/>
                <w:szCs w:val="24"/>
                <w:highlight w:val="none"/>
              </w:rPr>
              <w:t>科技等国内顶尖的游戏研发团队；作为全球领先的游戏运营商、研发商，三七互娱以“传承中华文化精髓”为理念，积极推动国产游戏的全球化发展，同时积极布局影视、音乐、动漫及VR等领域。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广州市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1000.00 </w:t>
            </w:r>
          </w:p>
        </w:tc>
      </w:tr>
      <w:tr>
        <w:tblPrEx>
          <w:tblLayout w:type="fixed"/>
          <w:tblCellMar>
            <w:top w:w="0" w:type="dxa"/>
            <w:left w:w="108" w:type="dxa"/>
            <w:bottom w:w="0" w:type="dxa"/>
            <w:right w:w="108" w:type="dxa"/>
          </w:tblCellMar>
        </w:tblPrEx>
        <w:trPr>
          <w:trHeight w:val="153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37</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北京昆仑万维科技股份有限公司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目前已经发展成为集精品自研游戏研发厂、全球精品游戏发行商、平台和软件商店三者为一体的互联网企业。公司注重拓展海外市场，其海外业务收入占比超过70%。旗下包含业务品牌：昆仑游戏（包含集团旗下所有游戏业务的研发及发行）、Brothersoft和1mobile应用商店。</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115175.00 </w:t>
            </w:r>
          </w:p>
        </w:tc>
      </w:tr>
      <w:tr>
        <w:tblPrEx>
          <w:tblLayout w:type="fixed"/>
          <w:tblCellMar>
            <w:top w:w="0" w:type="dxa"/>
            <w:left w:w="108" w:type="dxa"/>
            <w:bottom w:w="0" w:type="dxa"/>
            <w:right w:w="108" w:type="dxa"/>
          </w:tblCellMar>
        </w:tblPrEx>
        <w:trPr>
          <w:trHeight w:val="293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北京竞技时代科技有限公司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北京竞技时代科技有限公司成立于2015年，是全球第一家举办VR电子竞技大赛的竞技平台，目前运营WVA和WRA两项赛事。WVA（World Virtual Arena）,即全球VR电子竞技大赛，是由竞技时代于2015年创办的全球第一家VR电子竞技赛事品牌。目前WVA赛事体系包括超级联赛、城市公开赛、国际对抗赛、年度总决赛等。WRA（World Robot Arena）, 即全球机器人竞技大赛，是由竞技时代于2016年3月发起的全球机器人竞技赛事。目前竞技时代与深圳工匠社联合举办的WRA全球GANKER机器人竞技大赛得到社会各界的广泛观注及众多玩家的喜爱。</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3157.89 </w:t>
            </w:r>
          </w:p>
        </w:tc>
      </w:tr>
      <w:tr>
        <w:tblPrEx>
          <w:tblLayout w:type="fixed"/>
          <w:tblCellMar>
            <w:top w:w="0" w:type="dxa"/>
            <w:left w:w="108" w:type="dxa"/>
            <w:bottom w:w="0" w:type="dxa"/>
            <w:right w:w="108" w:type="dxa"/>
          </w:tblCellMar>
        </w:tblPrEx>
        <w:trPr>
          <w:trHeight w:val="146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39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北京易富网络科技有限公司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Ifgames游戏工作室成立于2013年，中国虚拟现实产业联盟理事单位，隶属于北京易富网络科技有限公司，是国内首批开展VR内容制作的团队之一，公司致力于提供线上线下各类中重度精品VR游戏，以及VR广告、视频、应用等内容制作。获得2016文创新势力NEW POWER创新潜力奖。</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62.50 </w:t>
            </w:r>
          </w:p>
        </w:tc>
      </w:tr>
      <w:tr>
        <w:tblPrEx>
          <w:tblLayout w:type="fixed"/>
          <w:tblCellMar>
            <w:top w:w="0" w:type="dxa"/>
            <w:left w:w="108" w:type="dxa"/>
            <w:bottom w:w="0" w:type="dxa"/>
            <w:right w:w="108" w:type="dxa"/>
          </w:tblCellMar>
        </w:tblPrEx>
        <w:trPr>
          <w:trHeight w:val="146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上海都玩网络科技有限公司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上海都玩网络科技有限公司是国内领先的即时制 ARPG网页游戏和手机游戏研发商。2015年北京文投控股集团全资收购都玩，构建页游+手游+VR游戏+游戏平台+IP影视联动+海外游戏等综合产业链游戏公司，同时并购耀莱影城发展影视娱乐产业。打造北京市文化创意产业航母。</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1000.00 </w:t>
            </w:r>
          </w:p>
        </w:tc>
      </w:tr>
      <w:tr>
        <w:tblPrEx>
          <w:tblLayout w:type="fixed"/>
          <w:tblCellMar>
            <w:top w:w="0" w:type="dxa"/>
            <w:left w:w="108" w:type="dxa"/>
            <w:bottom w:w="0" w:type="dxa"/>
            <w:right w:w="108" w:type="dxa"/>
          </w:tblCellMar>
        </w:tblPrEx>
        <w:trPr>
          <w:trHeight w:val="159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41</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color w:val="000000"/>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深圳市金环天朗信息技术服务有限公司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金环天朗信息技术服务有限公司成立于2005年，公司专注于轻度休闲游戏的研发和运营，致力发展成为轻度休闲游戏行业的领跑者。得益于智能手机的快速普及和移动互联网的迅勐发展，以及公司在手机棋牌游戏的研发和市场上的多年积累，近三年公司业绩呈现井喷式爆发。</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1000.00 </w:t>
            </w:r>
          </w:p>
        </w:tc>
      </w:tr>
      <w:tr>
        <w:tblPrEx>
          <w:tblLayout w:type="fixed"/>
          <w:tblCellMar>
            <w:top w:w="0" w:type="dxa"/>
            <w:left w:w="108" w:type="dxa"/>
            <w:bottom w:w="0" w:type="dxa"/>
            <w:right w:w="108" w:type="dxa"/>
          </w:tblCellMar>
        </w:tblPrEx>
        <w:trPr>
          <w:trHeight w:val="339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42</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数字</w:t>
            </w:r>
          </w:p>
          <w:p>
            <w:pPr>
              <w:widowControl/>
              <w:spacing w:line="240" w:lineRule="auto"/>
              <w:jc w:val="center"/>
              <w:rPr>
                <w:rFonts w:ascii="仿宋_GB2312" w:hAnsi="等线" w:cs="宋体"/>
                <w:color w:val="000000"/>
                <w:kern w:val="0"/>
                <w:sz w:val="24"/>
                <w:szCs w:val="24"/>
                <w:highlight w:val="none"/>
              </w:rPr>
            </w:pPr>
            <w:r>
              <w:rPr>
                <w:rFonts w:ascii="仿宋_GB2312" w:hAnsi="等线" w:cs="宋体"/>
                <w:color w:val="000000"/>
                <w:kern w:val="0"/>
                <w:sz w:val="24"/>
                <w:szCs w:val="24"/>
                <w:highlight w:val="none"/>
              </w:rPr>
              <w:t>文娱</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完美世界股份有限公司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完美世界股份有限公司涵盖完美世界影视和完美世界游戏两大业务板块，凭借强大的技术实力、富有创意的游戏设计能力，以及对各地文化差异的深刻理解和丰富的市场经验，完美世界旗下拥有《完美世界》《武林外传》《完美世界国际版》《诛仙》《神魔大陆》《神雕侠侣》《笑傲江湖 OL》等客户端网络游戏，《诛仙手游》、《倚天屠龙记》手游、《神雕侠侣》手游、《射雕英雄传手游》、《梦间集》手游、《武林外传官方手游》等移动网络游戏，《无冬 OL》主机版、《3对3街头篮球》PS4版、《星际迷航》、《非常英雄(Unruly Heroes)》主机版等主机游戏以及《深海迷航》等VR游戏，并代理了《DOTA2》《CS:GO》《创世战车》等知名电竞产品，不断为全球玩家带来精彩的娱乐体验。</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湖州市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color w:val="000000"/>
                <w:kern w:val="0"/>
                <w:sz w:val="24"/>
                <w:szCs w:val="24"/>
                <w:highlight w:val="none"/>
              </w:rPr>
            </w:pPr>
            <w:r>
              <w:rPr>
                <w:rFonts w:hint="eastAsia" w:ascii="仿宋_GB2312" w:hAnsi="等线" w:cs="宋体"/>
                <w:color w:val="000000"/>
                <w:kern w:val="0"/>
                <w:sz w:val="24"/>
                <w:szCs w:val="24"/>
                <w:highlight w:val="none"/>
              </w:rPr>
              <w:t xml:space="preserve">131460.99 </w:t>
            </w:r>
          </w:p>
        </w:tc>
      </w:tr>
      <w:tr>
        <w:tblPrEx>
          <w:tblLayout w:type="fixed"/>
          <w:tblCellMar>
            <w:top w:w="0" w:type="dxa"/>
            <w:left w:w="108" w:type="dxa"/>
            <w:bottom w:w="0" w:type="dxa"/>
            <w:right w:w="108" w:type="dxa"/>
          </w:tblCellMar>
        </w:tblPrEx>
        <w:trPr>
          <w:trHeight w:val="226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43</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工业互联网标识解析企业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北京泰尔英福网络科技有限责任公司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 xml:space="preserve">中国工业互联网标识解析管理中心成立于2016年，提供机器、产品等物理实体对象和算法、工艺等虚拟制造资源的唯一标识，提供根据标识编码查询网络位置或者产品信息的解析服务。通过构建一个开放、包容、安全、高效的工业互联网标识解析系统，能够实现跨企业、跨平台、跨地区的异构信息共享，支持产品追溯、供应链管理、智能生产、全生命周期管理等工业互联网新模式新应用。 </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1200.00 </w:t>
            </w:r>
          </w:p>
        </w:tc>
      </w:tr>
      <w:tr>
        <w:tblPrEx>
          <w:tblLayout w:type="fixed"/>
          <w:tblCellMar>
            <w:top w:w="0" w:type="dxa"/>
            <w:left w:w="108" w:type="dxa"/>
            <w:bottom w:w="0" w:type="dxa"/>
            <w:right w:w="108" w:type="dxa"/>
          </w:tblCellMar>
        </w:tblPrEx>
        <w:trPr>
          <w:trHeight w:val="243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44</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工业互联网平台企业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富士康工业互联网股份有限公司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2015年，BEACON平台发布于2018年，公司主要从事各类电子设备产品的设计、研发、制造与销售业务，依托于工业互联网为全球知名客户提供智能制造和科技服务解决方案。公司主要产品涵盖通信网络设备、云服务设备、精密工具和工业机器人。相关产品主要应用于智能手机、宽带和无线网络、多媒体服务运营商的基础建设、电信运营商的基础建设、互联网增值服务商所需终端产品、企业网络及数据中心的基础建设以及精密核心零组件的自动化智能制造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1772577.02 </w:t>
            </w:r>
          </w:p>
        </w:tc>
      </w:tr>
      <w:tr>
        <w:tblPrEx>
          <w:tblLayout w:type="fixed"/>
          <w:tblCellMar>
            <w:top w:w="0" w:type="dxa"/>
            <w:left w:w="108" w:type="dxa"/>
            <w:bottom w:w="0" w:type="dxa"/>
            <w:right w:w="108" w:type="dxa"/>
          </w:tblCellMar>
        </w:tblPrEx>
        <w:trPr>
          <w:trHeight w:val="300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海尔数字科技（上海）有限公司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海尔COSMOPlat于2018年发布，主要业务包含交互定制、开放创新、精准营销、模块采购、智能生产、智能物流和智能产品七大模块，产品服务包含区域云(帮助区域构建产城创生态圈)、行业云（COSMOPlat+行业专有方案，实现行业知识的软件化并沉淀，助力产业生态升级）、模块云（七个模块云套件，帮助企业解决用户定制过程中的体验、创意变现、研发、生产效率、采购、物流、成本等问题）、基础云（通过开放、敏捷、安全的COSMOPlat PaaS平台，帮助用户快速构建物联网和工业级应用，精准匹配并推介给有需要的企业）</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5000.00 </w:t>
            </w:r>
          </w:p>
        </w:tc>
      </w:tr>
      <w:tr>
        <w:tblPrEx>
          <w:tblLayout w:type="fixed"/>
          <w:tblCellMar>
            <w:top w:w="0" w:type="dxa"/>
            <w:left w:w="108" w:type="dxa"/>
            <w:bottom w:w="0" w:type="dxa"/>
            <w:right w:w="108" w:type="dxa"/>
          </w:tblCellMar>
        </w:tblPrEx>
        <w:trPr>
          <w:trHeight w:val="263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46</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工业互联网平台企业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北京树根互联科技有限公司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根云平台是中国最早、连接工业装备最多、服务行业最多的工业互联网赋能平台，能够为各行业企业提供基于物联网、大数据的云服务，面向机器的制造商、金融机构、业主、使用者、售后服务商、政府监管部门提供应用服务，同时对接各类行业软件、硬件、通讯商开展深度合作、形成生态效应。目前，平台已接入能源设备、纺织设备、专用车辆、港口机械、农业机械及工程机械等各类高价值设备超40万台以上，采集近万个参数，连接数千亿资产，为客户开拓超百亿元收入的新业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 </w:t>
            </w:r>
          </w:p>
        </w:tc>
      </w:tr>
      <w:tr>
        <w:tblPrEx>
          <w:tblLayout w:type="fixed"/>
          <w:tblCellMar>
            <w:top w:w="0" w:type="dxa"/>
            <w:left w:w="108" w:type="dxa"/>
            <w:bottom w:w="0" w:type="dxa"/>
            <w:right w:w="108" w:type="dxa"/>
          </w:tblCellMar>
        </w:tblPrEx>
        <w:trPr>
          <w:trHeight w:val="134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47</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智能云科信息科技有限公司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iSESOL网是线上生产能力资源池。通过地理位置、装备工况、工艺能力等多维度的数据挖掘分析实现订单的智能筛选匹配，面向iSESOL俱乐部会员提供订单交易服务。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10000.00 </w:t>
            </w:r>
          </w:p>
        </w:tc>
      </w:tr>
      <w:tr>
        <w:tblPrEx>
          <w:tblLayout w:type="fixed"/>
          <w:tblCellMar>
            <w:top w:w="0" w:type="dxa"/>
            <w:left w:w="108" w:type="dxa"/>
            <w:bottom w:w="0" w:type="dxa"/>
            <w:right w:w="108" w:type="dxa"/>
          </w:tblCellMar>
        </w:tblPrEx>
        <w:trPr>
          <w:trHeight w:val="195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中国航天科工集团有限公司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发布于2017年，INDICS平台能够提供涵盖IaaS、DaaS、PaaS和SaaS的完整工业互联网服务功能，适合不同层次、类型、规模的企业；可支持各种工业设备接入、集成各类工业应用服务，构建良性工业生态体系，使制造管理更加便捷高效；构建了涵盖设备安全、网络安全、控制安全、应用安全、数据安全和商业安全的工业互联网完整安全保障体系。</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1800000.00 </w:t>
            </w:r>
          </w:p>
        </w:tc>
      </w:tr>
      <w:tr>
        <w:tblPrEx>
          <w:tblLayout w:type="fixed"/>
          <w:tblCellMar>
            <w:top w:w="0" w:type="dxa"/>
            <w:left w:w="108" w:type="dxa"/>
            <w:bottom w:w="0" w:type="dxa"/>
            <w:right w:w="108" w:type="dxa"/>
          </w:tblCellMar>
        </w:tblPrEx>
        <w:trPr>
          <w:trHeight w:val="153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49</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工业大数据解决方案提供商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富士通（中国）有限公司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根据不同行业的特点，富士通制定了针对汽车行业，物流行业，制造行业，零售，医疗行业等多种解决方案，制造业PLM解决方案围绕高效能的数字化制造，实现了贯穿产品企划、设计研发、生产制造、销售流通及售后服务产品生命周期的数字化</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8677.10 </w:t>
            </w:r>
          </w:p>
        </w:tc>
      </w:tr>
      <w:tr>
        <w:tblPrEx>
          <w:tblLayout w:type="fixed"/>
          <w:tblCellMar>
            <w:top w:w="0" w:type="dxa"/>
            <w:left w:w="108" w:type="dxa"/>
            <w:bottom w:w="0" w:type="dxa"/>
            <w:right w:w="108" w:type="dxa"/>
          </w:tblCellMar>
        </w:tblPrEx>
        <w:trPr>
          <w:trHeight w:val="289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浪潮集团有限公司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浪潮成立于1945年，是中国领先的云计算、大数据服务商，已经形成涵盖IaaS、PaaS、SaaS三个层面的整体解决方案服务能力，凭借浪潮高端服务器、海量存储、云操作系统、信息安全技术为客户打造领先的云计算基础架构平台，基于浪潮政务、企业、行业信息化软件、终端产品和解决方案，全面支撑智慧政府、企业云、垂直行业云建设。浪潮集团拥有浪潮信息、浪潮软件、浪潮国际、华光光电四家上市公司，业务涵盖云数据中心、云服务大数据、智慧城市、智慧企业四大产业群组，为全球100多个国家和地区提供IT产品和服务，全方位满足政府与企业信息化需求。</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山东省</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82121.86 </w:t>
            </w:r>
          </w:p>
        </w:tc>
      </w:tr>
      <w:tr>
        <w:tblPrEx>
          <w:tblLayout w:type="fixed"/>
          <w:tblCellMar>
            <w:top w:w="0" w:type="dxa"/>
            <w:left w:w="108" w:type="dxa"/>
            <w:bottom w:w="0" w:type="dxa"/>
            <w:right w:w="108" w:type="dxa"/>
          </w:tblCellMar>
        </w:tblPrEx>
        <w:trPr>
          <w:trHeight w:val="241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51</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工业大数据解决方案提供商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中软国际有限公司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2000年，2003年在香港上市，公司凭借完整的生态资源，为客户提供云计算、大数据等多领域的技术服务，助力客户应对挑战、构建数字化转型。公司主营业务包含面向大客户、大行业的咨询、解决方案与技术服务；以“解放号”软件众包服务平台为核心的互联网众包线上线下运营服务；以及包含了线下卓越培训中心、卓越体验中心与线上宅客学院相结合的教育培训业务。公司的业务布局真正实现了线上与线下业务相结合的“双轮驱动”模式。</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20000.00 </w:t>
            </w:r>
          </w:p>
        </w:tc>
      </w:tr>
      <w:tr>
        <w:tblPrEx>
          <w:tblLayout w:type="fixed"/>
          <w:tblCellMar>
            <w:top w:w="0" w:type="dxa"/>
            <w:left w:w="108" w:type="dxa"/>
            <w:bottom w:w="0" w:type="dxa"/>
            <w:right w:w="108" w:type="dxa"/>
          </w:tblCellMar>
        </w:tblPrEx>
        <w:trPr>
          <w:trHeight w:val="255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52</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大唐电信科技股份有限公司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1998年，大唐电信拥有信息通信相关自主知识产权、安全技术、芯片设计、软件平台、集成应用和一站式解决方案的产业优势，同时在可信识别芯片、汽车电子芯片、智能终端芯片、物联网连接性芯片、信息安全与服务、智能终端整体解决方案、基于云计算/大数据技术的物联网和移动互联网应用核心平台、智慧城市、行业信息化等领域具有丰富的技术积累和竞争优势。公司先后获得国家科学技术进步奖一等奖和二等奖、世界知识产权组织和国家知识产权局颁发的专利金奖等荣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88210.85 </w:t>
            </w:r>
          </w:p>
        </w:tc>
      </w:tr>
      <w:tr>
        <w:tblPrEx>
          <w:tblLayout w:type="fixed"/>
          <w:tblCellMar>
            <w:top w:w="0" w:type="dxa"/>
            <w:left w:w="108" w:type="dxa"/>
            <w:bottom w:w="0" w:type="dxa"/>
            <w:right w:w="108" w:type="dxa"/>
          </w:tblCellMar>
        </w:tblPrEx>
        <w:trPr>
          <w:trHeight w:val="187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北京天地互连信息技术有限公司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1999年，北京天地互连信息技术有限公司（简称“天地互连”）以“领航下一代互联网，让互联网惠及每个人”为企业愿景，长期坚持以技术研发为核心，测试服务为基础，国际化、市场化为导向，是专注于IPv6根服务器、下一代互联网（IPv6）、软件定义网络（SDN）/网络功能虚拟化（NFV）、物联网（IoT）等领域的互联网基础技术公共服务平台。</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紫光集团有限公司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2016年，新华三拥有计算、存储、网络、安全等完整的数字化基础设施提供能力，提供云计算、大数据、大互联、大安全、大安防、边缘计算、人工智能、区块链在内的一站式、全方位数字化平台解决方案。同时，新华三也是HPE®品牌的服务器、存储和技术服务的中国独家提供商。</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67000.00 </w:t>
            </w:r>
          </w:p>
        </w:tc>
      </w:tr>
      <w:tr>
        <w:tblPrEx>
          <w:tblLayout w:type="fixed"/>
          <w:tblCellMar>
            <w:top w:w="0" w:type="dxa"/>
            <w:left w:w="108" w:type="dxa"/>
            <w:bottom w:w="0" w:type="dxa"/>
            <w:right w:w="108" w:type="dxa"/>
          </w:tblCellMar>
        </w:tblPrEx>
        <w:trPr>
          <w:trHeight w:val="11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神州数码集团股份有限公司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成立于1982年，神州数码集团旗下神州云科已初步形成了覆盖21个品类600余种产品的自有品牌产品体系，以及完全符合国家自主可控政策要求的，满足国内用户数据中心的基本需求的全线解决方案。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65407.04 </w:t>
            </w:r>
          </w:p>
        </w:tc>
      </w:tr>
      <w:tr>
        <w:tblPrEx>
          <w:tblLayout w:type="fixed"/>
          <w:tblCellMar>
            <w:top w:w="0" w:type="dxa"/>
            <w:left w:w="108" w:type="dxa"/>
            <w:bottom w:w="0" w:type="dxa"/>
            <w:right w:w="108" w:type="dxa"/>
          </w:tblCellMar>
        </w:tblPrEx>
        <w:trPr>
          <w:trHeight w:val="258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56</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工业大数据解决方案提供商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用友网络科技股份有限公司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 xml:space="preserve">成立于1988年，是亚太区领先的企业管理软件和企业移动应用、企业云服务提供商，我国最大的管理软件和行业应用解决方案提供商之一，积极向互联网转型，发展云服务，寻求跨界发展。用友平台支持服务O2O模式是在移动互联网、云计算、大数据、社交网络背景下，将原有线下为主的支持服务内容与互联网结合在一起，使线下服务与线上服务相融合。借助智能化、移动化、社交化的服务手段，为客户带来更便捷的服务通道、更极致的服务体验、更专业高效的服务保障。 </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146429.34 </w:t>
            </w:r>
          </w:p>
        </w:tc>
      </w:tr>
      <w:tr>
        <w:tblPrEx>
          <w:tblLayout w:type="fixed"/>
          <w:tblCellMar>
            <w:top w:w="0" w:type="dxa"/>
            <w:left w:w="108" w:type="dxa"/>
            <w:bottom w:w="0" w:type="dxa"/>
            <w:right w:w="108" w:type="dxa"/>
          </w:tblCellMar>
        </w:tblPrEx>
        <w:trPr>
          <w:trHeight w:val="245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57</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通用电气（中国）有限公司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1892年，是“工业互联网”概念的发明者，也是工业互联网联盟的发起单位之一。启动业务重组，强化全球工业基础设施供应商的角色，并大力推广工业互联网应用。GE的业务主要包括两大类，一是全球的基础设施建设，包括航空、医疗、发电、可再生能源、能源管理、石油天然气、运输、照明等。二是横跨各部门的数字化和金融垂直业务。在所有区域市场，GE致力于协同与整合各业务部门的技术所长、市场优势、全球规模，以及专业知识和领导力，为客户提供非凡产品和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10000.00 </w:t>
            </w:r>
          </w:p>
        </w:tc>
      </w:tr>
      <w:tr>
        <w:tblPrEx>
          <w:tblLayout w:type="fixed"/>
          <w:tblCellMar>
            <w:top w:w="0" w:type="dxa"/>
            <w:left w:w="108" w:type="dxa"/>
            <w:bottom w:w="0" w:type="dxa"/>
            <w:right w:w="108" w:type="dxa"/>
          </w:tblCellMar>
        </w:tblPrEx>
        <w:trPr>
          <w:trHeight w:val="148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中兴通讯股份有限公司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1985年，充分发挥通信产品优势与石油石化行业现状相结合推出数字油田综合方案和智能油气管道综合方案，为油田生产和管道运输提供有力支撑，提供城市工业节能监控解决方案等，中兴通讯的产品涵盖无线、核心网、接入、承载、业务、终端、云计算、服务等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418589.69 </w:t>
            </w:r>
          </w:p>
        </w:tc>
      </w:tr>
      <w:tr>
        <w:tblPrEx>
          <w:tblLayout w:type="fixed"/>
          <w:tblCellMar>
            <w:top w:w="0" w:type="dxa"/>
            <w:left w:w="108" w:type="dxa"/>
            <w:bottom w:w="0" w:type="dxa"/>
            <w:right w:w="108" w:type="dxa"/>
          </w:tblCellMar>
        </w:tblPrEx>
        <w:trPr>
          <w:trHeight w:val="153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59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思科（中国）有限公司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1984年，致力于以云技术为基础，提供极具吸引力的用户体验和各项服务，针对石油、天然气等能源行业和制造业提供全面的端对端解决方案，提高企业运营的可监控性和控制能力；为汽车、运输、医疗等各企业提供完善的云计算服务，助力企业快速提升工业化和信息化综合实力。</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10000.00 </w:t>
            </w:r>
          </w:p>
        </w:tc>
      </w:tr>
      <w:tr>
        <w:tblPrEx>
          <w:tblLayout w:type="fixed"/>
          <w:tblCellMar>
            <w:top w:w="0" w:type="dxa"/>
            <w:left w:w="108" w:type="dxa"/>
            <w:bottom w:w="0" w:type="dxa"/>
            <w:right w:w="108" w:type="dxa"/>
          </w:tblCellMar>
        </w:tblPrEx>
        <w:trPr>
          <w:trHeight w:val="361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60</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工业大数据解决方案提供商</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北京数码大方科技股份有限公司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2013年，是我国领先的工业软件和服务公司之一，主要提供数字化设计、数字化制造、产品全生命周期管理和工业云服务平台的产品和服务，是我国工业云发展的主要推动力量之一。公司主要面向装备、汽车、电子电器、航空航天、教育等行业，提供以CAD、MES和PLM软件为基础的智能制造解决方案，实现企业营销、研发、生产、供应、管理、服务等核心业务板块的数字化、网络化、智能化，全面提升工业企业的创新设计能力、先进制造能力以及人才保障能力，推进企业智能制造和实现“中国制造2025”。面向制造行业、以及省市、工业园区、特色小镇等区域，提供以工业互联和物联为基础的工业云平台服务，把设计和制造能力聚合到互联网上，促进资源共享、优化资源配置、提升创新创业能力、释放产能、培育新业态，推进网络协同制造和打造制造业生态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4500.00 </w:t>
            </w:r>
          </w:p>
        </w:tc>
      </w:tr>
      <w:tr>
        <w:tblPrEx>
          <w:tblLayout w:type="fixed"/>
          <w:tblCellMar>
            <w:top w:w="0" w:type="dxa"/>
            <w:left w:w="108" w:type="dxa"/>
            <w:bottom w:w="0" w:type="dxa"/>
            <w:right w:w="108" w:type="dxa"/>
          </w:tblCellMar>
        </w:tblPrEx>
        <w:trPr>
          <w:trHeight w:val="11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61</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山东山大华天软件有限公司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成立于1993年，注于制造业信息化领域，是我国规模最大的制造业信息化解决方案提供商之一，拥有自主版权高端三维CAD/CAM 软件，服务领域跨越CAD/CAPP/PDM/PLM/MPM。</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山东省济南市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5000.00 </w:t>
            </w:r>
          </w:p>
        </w:tc>
      </w:tr>
      <w:tr>
        <w:tblPrEx>
          <w:tblLayout w:type="fixed"/>
          <w:tblCellMar>
            <w:top w:w="0" w:type="dxa"/>
            <w:left w:w="108" w:type="dxa"/>
            <w:bottom w:w="0" w:type="dxa"/>
            <w:right w:w="108" w:type="dxa"/>
          </w:tblCellMar>
        </w:tblPrEx>
        <w:trPr>
          <w:trHeight w:val="122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62</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华为技术有限公司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成立于1987年，华为企业云针对智能制造、车联网、石油勘探等大数据应用场景打造了易使用、高可靠、低成本的大数据方案，帮助企业客户快速构建大数据平台，满足企业海量数据存储和分析需求。</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3990813.18 </w:t>
            </w:r>
          </w:p>
        </w:tc>
      </w:tr>
      <w:tr>
        <w:tblPrEx>
          <w:tblLayout w:type="fixed"/>
          <w:tblCellMar>
            <w:top w:w="0" w:type="dxa"/>
            <w:left w:w="108" w:type="dxa"/>
            <w:bottom w:w="0" w:type="dxa"/>
            <w:right w:w="108" w:type="dxa"/>
          </w:tblCellMar>
        </w:tblPrEx>
        <w:trPr>
          <w:trHeight w:val="117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阿里云计算有限公司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创立于2009年，提供完整的云计算服务产品线，广泛在医疗、金融、交通、基因、气象、能源等领域输出一站式的大数据解决方案，产品体系包括弹性计算、数据库和大规模计算等。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100000.00 </w:t>
            </w:r>
          </w:p>
        </w:tc>
      </w:tr>
      <w:tr>
        <w:tblPrEx>
          <w:tblLayout w:type="fixed"/>
          <w:tblCellMar>
            <w:top w:w="0" w:type="dxa"/>
            <w:left w:w="108" w:type="dxa"/>
            <w:bottom w:w="0" w:type="dxa"/>
            <w:right w:w="108" w:type="dxa"/>
          </w:tblCellMar>
        </w:tblPrEx>
        <w:trPr>
          <w:trHeight w:val="117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ABB（中国）有限公司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成立于1988年，是全球电力和自动化技术领域的先进企业，致力于帮助电力、工业、交通和基础设施等领域客户提高业绩，同时降低对环境的影响，重点布局机器人等智能装备业务。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31000.00 </w:t>
            </w:r>
          </w:p>
        </w:tc>
      </w:tr>
      <w:tr>
        <w:tblPrEx>
          <w:tblLayout w:type="fixed"/>
          <w:tblCellMar>
            <w:top w:w="0" w:type="dxa"/>
            <w:left w:w="108" w:type="dxa"/>
            <w:bottom w:w="0" w:type="dxa"/>
            <w:right w:w="108" w:type="dxa"/>
          </w:tblCellMar>
        </w:tblPrEx>
        <w:trPr>
          <w:trHeight w:val="117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北京和利时智能技术有限公司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2008年，和利时主要从事自动控制系统产品的研发、制造和服务，核心业务聚焦在工业自动化、轨道交通自动化和医疗自动化三大领域。工业自动化领域包含了过程自动化、离散自动化和矿山自动化三个方向。</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10000.00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中控科技集团有限公司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成立于1993年，是我国领先的自动化与信息化技术、产品与解决方案供应商, 2014年在全国自动化解决方案市场中的份额已提升至11.6%，在化工领域其市场份额更是高达34%。业务涉及流程工业自动化、智慧城市、科教仪器、油气、装备等领域。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浙江省</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10000.00 </w:t>
            </w:r>
          </w:p>
        </w:tc>
      </w:tr>
      <w:tr>
        <w:tblPrEx>
          <w:tblLayout w:type="fixed"/>
          <w:tblCellMar>
            <w:top w:w="0" w:type="dxa"/>
            <w:left w:w="108" w:type="dxa"/>
            <w:bottom w:w="0" w:type="dxa"/>
            <w:right w:w="108" w:type="dxa"/>
          </w:tblCellMar>
        </w:tblPrEx>
        <w:trPr>
          <w:trHeight w:val="146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67</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电商</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大数据企业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北京阿里巴巴信息技术有限公司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adjustRightInd w:val="0"/>
              <w:snapToGrid w:val="0"/>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淘宝建立了连接生产数据和销售数据的大数据平台。去年，淘宝网与第一财经数据中心联合发布《中国消费趋势报告</w:t>
            </w:r>
            <w:r>
              <w:rPr>
                <w:rFonts w:hint="eastAsia" w:ascii="微软雅黑" w:hAnsi="微软雅黑" w:eastAsia="微软雅黑" w:cs="微软雅黑"/>
                <w:kern w:val="0"/>
                <w:sz w:val="24"/>
                <w:szCs w:val="24"/>
                <w:highlight w:val="none"/>
              </w:rPr>
              <w:t>•</w:t>
            </w:r>
            <w:r>
              <w:rPr>
                <w:rFonts w:hint="eastAsia" w:ascii="仿宋_GB2312" w:hAnsi="等线" w:cs="宋体"/>
                <w:kern w:val="0"/>
                <w:sz w:val="24"/>
                <w:szCs w:val="24"/>
                <w:highlight w:val="none"/>
              </w:rPr>
              <w:t>2015》，通过探索揭秘3.86亿淘宝用户在过去五年的消费现状与行为，用商业数据报告全景解读中国人消费升级的大趋势。</w:t>
            </w:r>
          </w:p>
          <w:p>
            <w:pPr>
              <w:widowControl/>
              <w:spacing w:line="240" w:lineRule="auto"/>
              <w:jc w:val="left"/>
              <w:rPr>
                <w:rFonts w:ascii="仿宋_GB2312" w:hAnsi="等线" w:cs="宋体"/>
                <w:kern w:val="0"/>
                <w:sz w:val="24"/>
                <w:szCs w:val="24"/>
                <w:highlight w:val="none"/>
              </w:rPr>
            </w:pP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56000.00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北京京东世纪贸易有限公司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京东大数据是在Hadoop的基础上，京东开发出了JDW企业级数据仓库，目前集群的总存储量已经达到了50PB以上。京东的全品类、全价值链的电商数据在行业内具有稀缺性，它使得京东大数据在数据、模型、技术、工具等多个层面高度的整合和统一。</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139798.56 </w:t>
            </w:r>
          </w:p>
        </w:tc>
      </w:tr>
      <w:tr>
        <w:tblPrEx>
          <w:tblLayout w:type="fixed"/>
          <w:tblCellMar>
            <w:top w:w="0" w:type="dxa"/>
            <w:left w:w="108" w:type="dxa"/>
            <w:bottom w:w="0" w:type="dxa"/>
            <w:right w:w="108" w:type="dxa"/>
          </w:tblCellMar>
        </w:tblPrEx>
        <w:trPr>
          <w:trHeight w:val="117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69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上海益实多电子商务有限公司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1号店SBY平台利用数据分析系统以及客服系统，为客户提供全面服务。1号店在SBY平台有大量顾客的数据，1号店利用这些规律进行数据挖掘，用顾客行为模型去预测顾客会有什么样的需求，同时为顾客开展个性化的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4021.20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北京网库信息技术股份有限公司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国内第三大内贸B2B电子商务服务公司和国内最大的单品电子商务聚集平台。公司拥有15年的网络营销和实体企业电子商务服务经验。主要致力细分领域的电子商务平台打造与聚集，为实体企业提供基于行业细分的单品电子商务交易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10204.08 </w:t>
            </w:r>
          </w:p>
        </w:tc>
      </w:tr>
      <w:tr>
        <w:tblPrEx>
          <w:tblLayout w:type="fixed"/>
          <w:tblCellMar>
            <w:top w:w="0" w:type="dxa"/>
            <w:left w:w="108" w:type="dxa"/>
            <w:bottom w:w="0" w:type="dxa"/>
            <w:right w:w="108" w:type="dxa"/>
          </w:tblCellMar>
        </w:tblPrEx>
        <w:trPr>
          <w:trHeight w:val="78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71</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北京慧聪国际资讯有限公司</w:t>
            </w:r>
          </w:p>
        </w:tc>
        <w:tc>
          <w:tcPr>
            <w:tcW w:w="9252" w:type="dxa"/>
            <w:tcBorders>
              <w:top w:val="nil"/>
              <w:left w:val="nil"/>
              <w:bottom w:val="single" w:color="auto" w:sz="4" w:space="0"/>
              <w:right w:val="single" w:color="auto" w:sz="4" w:space="0"/>
            </w:tcBorders>
            <w:shd w:val="clear" w:color="auto" w:fill="auto"/>
            <w:noWrap/>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慧聪网成立于1992年，是国内b2b电子商务服务提供商</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50000.00 </w:t>
            </w:r>
          </w:p>
        </w:tc>
      </w:tr>
      <w:tr>
        <w:tblPrEx>
          <w:tblLayout w:type="fixed"/>
          <w:tblCellMar>
            <w:top w:w="0" w:type="dxa"/>
            <w:left w:w="108" w:type="dxa"/>
            <w:bottom w:w="0" w:type="dxa"/>
            <w:right w:w="108" w:type="dxa"/>
          </w:tblCellMar>
        </w:tblPrEx>
        <w:trPr>
          <w:trHeight w:val="146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72</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物流</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大数据企业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传化物流集团有限公司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传化物流是国内领先的公路物流行业平台整合运营商，致力于构建“中国智能公路物流网络运营系统”，是一家生态型、平台型、科技型、服务型的从事“智能物流+产业互联网+物流金融”业务的创新企业。开发建设集分运配高效协同、智能调度和物流过程透明化管控的智能物流信息系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78963.81 </w:t>
            </w:r>
          </w:p>
        </w:tc>
      </w:tr>
      <w:tr>
        <w:tblPrEx>
          <w:tblLayout w:type="fixed"/>
          <w:tblCellMar>
            <w:top w:w="0" w:type="dxa"/>
            <w:left w:w="108" w:type="dxa"/>
            <w:bottom w:w="0" w:type="dxa"/>
            <w:right w:w="108" w:type="dxa"/>
          </w:tblCellMar>
        </w:tblPrEx>
        <w:trPr>
          <w:trHeight w:val="177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上海博科资讯股份有限公司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博科一体化系统解决了大中型物流企业资源管理信息化综合管理要求，功能涵盖了物流业务管理、物流计划、业务跟踪与监控、人力资源管理、财务管理、资产管理、资金管理、预算管理、报表管理、供应链金融服务及BI等业务单元，形成了一套涵盖商务协同、决策支持、业务运作、管理运营与系统数据等五个层面物流企业资源管理信息系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11000.00 </w:t>
            </w:r>
          </w:p>
        </w:tc>
      </w:tr>
      <w:tr>
        <w:tblPrEx>
          <w:tblLayout w:type="fixed"/>
          <w:tblCellMar>
            <w:top w:w="0" w:type="dxa"/>
            <w:left w:w="108" w:type="dxa"/>
            <w:bottom w:w="0" w:type="dxa"/>
            <w:right w:w="108" w:type="dxa"/>
          </w:tblCellMar>
        </w:tblPrEx>
        <w:trPr>
          <w:trHeight w:val="117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bottom"/>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意欧斯智能科技股份有限公司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集研发制造、销售物流仓储设备和解决方案于一体的国内领先制造商，提供一站式智能仓储解决方案，包括堆垛机系统、输送机系统、智能叉车车队管理系统等。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嘉兴市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7898.39 </w:t>
            </w:r>
          </w:p>
        </w:tc>
      </w:tr>
      <w:tr>
        <w:tblPrEx>
          <w:tblLayout w:type="fixed"/>
          <w:tblCellMar>
            <w:top w:w="0" w:type="dxa"/>
            <w:left w:w="108" w:type="dxa"/>
            <w:bottom w:w="0" w:type="dxa"/>
            <w:right w:w="108" w:type="dxa"/>
          </w:tblCellMar>
        </w:tblPrEx>
        <w:trPr>
          <w:trHeight w:val="302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75</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物流</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大数据企业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菜鸟网络科技有限公司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菜鸟网络专注打造的中国智能物流骨干网将通过自建、共建、合作、改造等多种模式，在全中国范围内形成一套开放的社会化仓储设施网络。同时利用先进的互联网技术，建立开放、透明、共享的数据应用平台，为电子商务企业、物流公司、仓储企业、第三方物流服务商、供应链服务商等各类企业提供优质服务，支持物流行业向高附加值领域发展和升级。最终促使建立社会化资源高效协同机制，提升中国社会化物流服务品质。菜鸟通过打造智能物流骨干网，对生产流通的数据进行整合运作，实现信息的高速流转，而生产资料、货物则尽量减少流动，以提升效率。有人认为这种运作模式将颠覆传统物流模式。</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1000000.00 </w:t>
            </w:r>
          </w:p>
        </w:tc>
      </w:tr>
      <w:tr>
        <w:tblPrEx>
          <w:tblLayout w:type="fixed"/>
          <w:tblCellMar>
            <w:top w:w="0" w:type="dxa"/>
            <w:left w:w="108" w:type="dxa"/>
            <w:bottom w:w="0" w:type="dxa"/>
            <w:right w:w="108" w:type="dxa"/>
          </w:tblCellMar>
        </w:tblPrEx>
        <w:trPr>
          <w:trHeight w:val="148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山西东杰智能物流装备股份有限公司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国内目前规模排名前列的物流系统集成商及设备制造企业。主要经营自动化立体仓库、自动化停车库、自动化生产线等。公司研制开发的工业机器人及柔性自动化生产线采用先进的现场总线和实时智能控制系统，实现自动化生产技术与计算机网络技术和仪表技术的集成。</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山西省</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14028.29 </w:t>
            </w:r>
          </w:p>
        </w:tc>
      </w:tr>
      <w:tr>
        <w:tblPrEx>
          <w:tblLayout w:type="fixed"/>
          <w:tblCellMar>
            <w:top w:w="0" w:type="dxa"/>
            <w:left w:w="108" w:type="dxa"/>
            <w:bottom w:w="0" w:type="dxa"/>
            <w:right w:w="108" w:type="dxa"/>
          </w:tblCellMar>
        </w:tblPrEx>
        <w:trPr>
          <w:trHeight w:val="107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77</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贵阳货车帮科技有限公司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货车帮是贵阳货车帮科技有限公司旗下的公路物流互联网信息平台，建立覆盖全国的货源信息网络，为平台货车提供综合服务，致力于做中国公路物流基础设施。</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贵阳市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 </w:t>
            </w:r>
          </w:p>
        </w:tc>
      </w:tr>
      <w:tr>
        <w:tblPrEx>
          <w:tblLayout w:type="fixed"/>
          <w:tblCellMar>
            <w:top w:w="0" w:type="dxa"/>
            <w:left w:w="108" w:type="dxa"/>
            <w:bottom w:w="0" w:type="dxa"/>
            <w:right w:w="108" w:type="dxa"/>
          </w:tblCellMar>
        </w:tblPrEx>
        <w:trPr>
          <w:trHeight w:val="248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78</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旅游</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大数据企业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杭州途记科技有限公司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专注于旅游新技术研发和运营的智慧旅游综合运营服务商。公司致力于为旅游行业提供轻量、实用的智慧旅游解决方案，通过先进的技术和运营手段，为各级旅游政府、企业和游客提供一站式旅游服务，帮助旅游政府部门实现政务服务升级转型，推动我国旅游经济生产力的发展。 目前团队近100人，拥有行业内优秀的技术研发团队、项目管理团队、新媒体运营团队，为国家旅游局和浙江、江西、上海、湖北、新疆、广东、安徽、内蒙、江苏等地百余家旅游局提供技术支持与服务。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222.22 </w:t>
            </w:r>
          </w:p>
        </w:tc>
      </w:tr>
      <w:tr>
        <w:tblPrEx>
          <w:tblLayout w:type="fixed"/>
          <w:tblCellMar>
            <w:top w:w="0" w:type="dxa"/>
            <w:left w:w="108" w:type="dxa"/>
            <w:bottom w:w="0" w:type="dxa"/>
            <w:right w:w="108" w:type="dxa"/>
          </w:tblCellMar>
        </w:tblPrEx>
        <w:trPr>
          <w:trHeight w:val="187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79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马上游科技有限公司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马上游是国内最早从事智慧旅游的公司，2010年8月即成立了中国第一个智慧旅游事业部，并率先提出了“互联网+全域旅游目的地”战略。2015年9月，马上游成为国家旅游局发起的“中国互联网+旅游目的地联盟”副秘书长单位，以移动互联网、物联网、云计算和大数据为核心技术，以“互联网+全域旅游目的地”为主营业务的高科技企业。</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长沙市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12084.55 </w:t>
            </w:r>
          </w:p>
        </w:tc>
      </w:tr>
      <w:tr>
        <w:tblPrEx>
          <w:tblLayout w:type="fixed"/>
          <w:tblCellMar>
            <w:top w:w="0" w:type="dxa"/>
            <w:left w:w="108" w:type="dxa"/>
            <w:bottom w:w="0" w:type="dxa"/>
            <w:right w:w="108" w:type="dxa"/>
          </w:tblCellMar>
        </w:tblPrEx>
        <w:trPr>
          <w:trHeight w:val="187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80</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旅游</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大数据企业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广东穗阳商务服务股份有限公司（必爱旅行网）</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必爱旅行网是一个在线旅游服务提供商，提供旅游预订、酒店订房、景区门票预订、租车等服务。必爱旅行网，倡导自由享受与深度体验的度假休闲方式，主要提供自由行、团队游、半自助游、巴士游、自驾游、邮轮、自由行PASS、签证、用车等全系列度假产品服务。必爱旅行网完成新一轮融资，投资机构为中科招商。</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1021.00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81</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中智云游(北京)科技股份有限公司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公司自2003年成立以来始终专注于智慧旅游行业，拥有丰富的旅游行业资源、完备的建设、整合及运营体系以4G、移动互联网、云计算、大数据为核心技术多次为游客、旅游企业、旅游局等客户提供领先的一站式智慧旅游云服务并获得一致好评。</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 </w:t>
            </w:r>
          </w:p>
        </w:tc>
      </w:tr>
      <w:tr>
        <w:tblPrEx>
          <w:tblLayout w:type="fixed"/>
          <w:tblCellMar>
            <w:top w:w="0" w:type="dxa"/>
            <w:left w:w="108" w:type="dxa"/>
            <w:bottom w:w="0" w:type="dxa"/>
            <w:right w:w="108" w:type="dxa"/>
          </w:tblCellMar>
        </w:tblPrEx>
        <w:trPr>
          <w:trHeight w:val="146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82</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广东海狸信息科技有限公司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专注于智慧旅游的应用与研发，为旅游政府机构，涉旅企业提供一站式的智慧旅游规划设计，系统建设，软件开发，运营推广的智慧旅游信息化解决方案。通过AR增强现实导览，和用户真实交互体验，让文化更加深刻。智慧文旅整体解决方案，AR导览技术领跑公司。</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 </w:t>
            </w:r>
          </w:p>
        </w:tc>
      </w:tr>
      <w:tr>
        <w:tblPrEx>
          <w:tblLayout w:type="fixed"/>
          <w:tblCellMar>
            <w:top w:w="0" w:type="dxa"/>
            <w:left w:w="108" w:type="dxa"/>
            <w:bottom w:w="0" w:type="dxa"/>
            <w:right w:w="108" w:type="dxa"/>
          </w:tblCellMar>
        </w:tblPrEx>
        <w:trPr>
          <w:trHeight w:val="11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广东去买票科技股份有限公司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 xml:space="preserve">公司与旅游景区、旅行社、演出/剧院紧密合作，始终秉承“没有不成功的行业，只有不成功的企业”的理念，专注提供智慧票务、智能入园、选座整体研发推广。 </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1214.86 </w:t>
            </w:r>
          </w:p>
        </w:tc>
      </w:tr>
      <w:tr>
        <w:tblPrEx>
          <w:tblLayout w:type="fixed"/>
          <w:tblCellMar>
            <w:top w:w="0" w:type="dxa"/>
            <w:left w:w="108" w:type="dxa"/>
            <w:bottom w:w="0" w:type="dxa"/>
            <w:right w:w="108" w:type="dxa"/>
          </w:tblCellMar>
        </w:tblPrEx>
        <w:trPr>
          <w:trHeight w:val="14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中国移动通信集团有限公司政企客户分公司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 xml:space="preserve">中国移动通信集团公司政企客户分公司(简称政企分公司)，前身为中国移动总部集团客户部，成立于2012年8月，是中国移动通信集团公司下属经营集团客户市场的专业化分公司。 </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w:t>
            </w:r>
          </w:p>
        </w:tc>
      </w:tr>
      <w:tr>
        <w:tblPrEx>
          <w:tblLayout w:type="fixed"/>
          <w:tblCellMar>
            <w:top w:w="0" w:type="dxa"/>
            <w:left w:w="108" w:type="dxa"/>
            <w:bottom w:w="0" w:type="dxa"/>
            <w:right w:w="108" w:type="dxa"/>
          </w:tblCellMar>
        </w:tblPrEx>
        <w:trPr>
          <w:trHeight w:val="187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杭州天迈网络有限公司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 xml:space="preserve">天迈网络以大数据为中心，搭建起智慧旅游行业运行监测平台、智慧旅游公共服务平台、智慧旅游目的地营销平台、智慧旅游目的地体验平台四大平台矩阵，同时以天迈智慧服务体系、智慧管理体系、智慧营销体系、智慧体验体系四大体系为支撑，为政府、企业、游客及居民等提供第三方新型服务平台及全产业生态链的智慧旅游产品。 </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575.45 </w:t>
            </w:r>
          </w:p>
        </w:tc>
      </w:tr>
      <w:tr>
        <w:tblPrEx>
          <w:tblLayout w:type="fixed"/>
          <w:tblCellMar>
            <w:top w:w="0" w:type="dxa"/>
            <w:left w:w="108" w:type="dxa"/>
            <w:bottom w:w="0" w:type="dxa"/>
            <w:right w:w="108" w:type="dxa"/>
          </w:tblCellMar>
        </w:tblPrEx>
        <w:trPr>
          <w:trHeight w:val="156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北京巅峰智业旅游文化创意股份有限公司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巅峰智业立足旅游创意，融合智慧旅游最新理念，整合物联网和云计算的先进技术，为客户提供“规划设计+旅游营销+软件开发+系统集成+运营维护”一体化全程服务的信息技术解决方案。以信息化推动中国旅游产业融合发展和服务创新为使命。业务涉及规划咨询、系统建设、旅游营销、IT运营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3333.33 </w:t>
            </w:r>
          </w:p>
        </w:tc>
      </w:tr>
      <w:tr>
        <w:tblPrEx>
          <w:tblLayout w:type="fixed"/>
          <w:tblCellMar>
            <w:top w:w="0" w:type="dxa"/>
            <w:left w:w="108" w:type="dxa"/>
            <w:bottom w:w="0" w:type="dxa"/>
            <w:right w:w="108" w:type="dxa"/>
          </w:tblCellMar>
        </w:tblPrEx>
        <w:trPr>
          <w:trHeight w:val="192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87</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旅游</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大数据企业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杭州聚赢智业科技有限公司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团队成立于2013年。公司总部位于美丽的西子湖畔，拥有3大软件研发部与硬件研发中心、4大片区营销中心。是专业从事智慧旅游的信息化技术产品的研发、销售，以及互联网+旅游平台的运营。聚赢智业的产品主要有：景区/酒店电子商务平台、景区售票系统、景区门禁闸机系统、大数据决策系统、园内管理一体化CS多层架构集成系统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230.00 </w:t>
            </w:r>
          </w:p>
        </w:tc>
      </w:tr>
      <w:tr>
        <w:tblPrEx>
          <w:tblLayout w:type="fixed"/>
          <w:tblCellMar>
            <w:top w:w="0" w:type="dxa"/>
            <w:left w:w="108" w:type="dxa"/>
            <w:bottom w:w="0" w:type="dxa"/>
            <w:right w:w="108" w:type="dxa"/>
          </w:tblCellMar>
        </w:tblPrEx>
        <w:trPr>
          <w:trHeight w:val="111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浙江深大智能科技有限公司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自1996年创建至今已20年，一直坚持走“技术精湛、质量优异、服务一流、用户至上”的经营之路。公司的发展，得益于深大员工的开拓创新、奋勇拼搏的集体智慧，得益于国民经济大发展背景下的旅游发展趋势。</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3000.00 </w:t>
            </w:r>
          </w:p>
        </w:tc>
      </w:tr>
      <w:tr>
        <w:tblPrEx>
          <w:tblLayout w:type="fixed"/>
          <w:tblCellMar>
            <w:top w:w="0" w:type="dxa"/>
            <w:left w:w="108" w:type="dxa"/>
            <w:bottom w:w="0" w:type="dxa"/>
            <w:right w:w="108" w:type="dxa"/>
          </w:tblCellMar>
        </w:tblPrEx>
        <w:trPr>
          <w:trHeight w:val="158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89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广东铂亚信息技术有限公司 </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1999年，一直致力于专业的生物特征识别技术研究、应用产品开发及市场推广，是专业从事人脸识别、智能视频分析、数字图像处理、计算机视觉分析、行为模式识别等多领域技术研发及应用的高科技企业，是广东省最早从事软件开发的企业之一，荣获多种荣誉资质。</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5640.00 </w:t>
            </w:r>
          </w:p>
        </w:tc>
      </w:tr>
      <w:tr>
        <w:tblPrEx>
          <w:tblLayout w:type="fixed"/>
          <w:tblCellMar>
            <w:top w:w="0" w:type="dxa"/>
            <w:left w:w="108" w:type="dxa"/>
            <w:bottom w:w="0" w:type="dxa"/>
            <w:right w:w="108" w:type="dxa"/>
          </w:tblCellMar>
        </w:tblPrEx>
        <w:trPr>
          <w:trHeight w:val="110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浙江卓锐科技股份有限公司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成立于2006年，公司致力于为景区、旅游局等相关目的地管理部门提供覆盖“规划设计+云租赁服务+定制开发+运营推广”的智慧旅游一体化解决方案。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4000.00 </w:t>
            </w:r>
          </w:p>
        </w:tc>
      </w:tr>
      <w:tr>
        <w:tblPrEx>
          <w:tblLayout w:type="fixed"/>
          <w:tblCellMar>
            <w:top w:w="0" w:type="dxa"/>
            <w:left w:w="108" w:type="dxa"/>
            <w:bottom w:w="0" w:type="dxa"/>
            <w:right w:w="108" w:type="dxa"/>
          </w:tblCellMar>
        </w:tblPrEx>
        <w:trPr>
          <w:trHeight w:val="129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91</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人工</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智能</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上海蔚来汽车有限公司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上海蔚来汽车有限公司成立于2015年05月07日，主要经营范围为新能源汽车整车及零部件的研发，从事整车及零部件技术领域内的技术开发、技术服务、技术转让和技术咨询等。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12亿美元</w:t>
            </w:r>
          </w:p>
        </w:tc>
      </w:tr>
      <w:tr>
        <w:tblPrEx>
          <w:tblLayout w:type="fixed"/>
          <w:tblCellMar>
            <w:top w:w="0" w:type="dxa"/>
            <w:left w:w="108" w:type="dxa"/>
            <w:bottom w:w="0" w:type="dxa"/>
            <w:right w:w="108" w:type="dxa"/>
          </w:tblCellMar>
        </w:tblPrEx>
        <w:trPr>
          <w:trHeight w:val="102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92</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广州小鹏汽车科技有限公司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小鹏汽车是一家智能化电动汽车生产制造商，汽车拥有低速自动驾驶跟随的功能，并为解决停车难的困扰，开发了包括自动泊车以及远程召唤的功能</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广州市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1097.72 </w:t>
            </w:r>
          </w:p>
        </w:tc>
      </w:tr>
      <w:tr>
        <w:tblPrEx>
          <w:tblLayout w:type="fixed"/>
          <w:tblCellMar>
            <w:top w:w="0" w:type="dxa"/>
            <w:left w:w="108" w:type="dxa"/>
            <w:bottom w:w="0" w:type="dxa"/>
            <w:right w:w="108" w:type="dxa"/>
          </w:tblCellMar>
        </w:tblPrEx>
        <w:trPr>
          <w:trHeight w:val="267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北京图森未来科技有限公司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图森未来科技有限公司（前身北京图森互联科技有限责任公司）是一家致力于自动驾驶技术研发与应用的人工智能企业。公司成立于2015年，提供计算机视觉为主的低成本、可商用自动驾驶解决方案，致力于打造高速场景下的L4级别（SAE）自动驾驶卡车。图森未来在北京和圣地亚哥设立两座研究院，核心技术团队以海外名校硕博士为主，汇集了来自加州理工学院、香港科技大学、卡内基梅隆大学、南洋理工大学、早稻田大学等世界名校人才以及前丰田、通用等车企自动驾驶研发项目组，覆盖了自动驾驶全研发链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 </w:t>
            </w:r>
          </w:p>
        </w:tc>
      </w:tr>
      <w:tr>
        <w:tblPrEx>
          <w:tblLayout w:type="fixed"/>
          <w:tblCellMar>
            <w:top w:w="0" w:type="dxa"/>
            <w:left w:w="108" w:type="dxa"/>
            <w:bottom w:w="0" w:type="dxa"/>
            <w:right w:w="108" w:type="dxa"/>
          </w:tblCellMar>
        </w:tblPrEx>
        <w:trPr>
          <w:trHeight w:val="188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94</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人工</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智能</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北京小鱼在家科技有限公司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小鱼在家是一个视频通话机器人制造商，采用摄像头、屏幕、音箱相结合的解决方案，支持手机远程完全遥控操作，APP与分身鱼同屏共享所有的内容，为家庭提供语音求救、智能视频录制和语音助手。同时还是一个家庭助手，播报天气、汇报新闻头条、拨打电话、回答一些简单的问题，方便家中老人使用。</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 </w:t>
            </w:r>
          </w:p>
        </w:tc>
      </w:tr>
      <w:tr>
        <w:tblPrEx>
          <w:tblLayout w:type="fixed"/>
          <w:tblCellMar>
            <w:top w:w="0" w:type="dxa"/>
            <w:left w:w="108" w:type="dxa"/>
            <w:bottom w:w="0" w:type="dxa"/>
            <w:right w:w="108" w:type="dxa"/>
          </w:tblCellMar>
        </w:tblPrEx>
        <w:trPr>
          <w:trHeight w:val="17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浙江梧斯源通信科技股份有限公司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浙江梧斯源通信科技股份有限公司，原名杭州梧斯源创测通信有限公司，成立于2010年，至今已经发展成为集研发，生产，销售为一体的综合性公司，是浙江省的科技型企业，杭州市高新企业，软件企业。 公司长期自主研发电子类产品和软件平台，拥有国内领先的单项技术，在通信领域和机器人行业具有良好口碑。</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1000.00 </w:t>
            </w:r>
          </w:p>
        </w:tc>
      </w:tr>
      <w:tr>
        <w:tblPrEx>
          <w:tblLayout w:type="fixed"/>
          <w:tblCellMar>
            <w:top w:w="0" w:type="dxa"/>
            <w:left w:w="108" w:type="dxa"/>
            <w:bottom w:w="0" w:type="dxa"/>
            <w:right w:w="108" w:type="dxa"/>
          </w:tblCellMar>
        </w:tblPrEx>
        <w:trPr>
          <w:trHeight w:val="108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北京一维弦科技有限责任公司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北京一维弦科技成立于2015年，专注于机器人研发。其第一款产品MoRo可以面向开发者、研究者和教育工作者开放。</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1240.00 </w:t>
            </w:r>
          </w:p>
        </w:tc>
      </w:tr>
      <w:tr>
        <w:tblPrEx>
          <w:tblLayout w:type="fixed"/>
          <w:tblCellMar>
            <w:top w:w="0" w:type="dxa"/>
            <w:left w:w="108" w:type="dxa"/>
            <w:bottom w:w="0" w:type="dxa"/>
            <w:right w:w="108" w:type="dxa"/>
          </w:tblCellMar>
        </w:tblPrEx>
        <w:trPr>
          <w:trHeight w:val="134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97</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区块链技术</w:t>
            </w:r>
          </w:p>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北京博晨技术有限公司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博晨技术有限公司专注于区块链底层技术的研发，于2017年6月发布L0分布式账本开源技术，拥有支持高并发、高频热点账户、账本实时结算、审计、监管等特点，目前应用于审计、清算、支付、数字资产等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129.26 </w:t>
            </w:r>
          </w:p>
        </w:tc>
      </w:tr>
      <w:tr>
        <w:tblPrEx>
          <w:tblLayout w:type="fixed"/>
          <w:tblCellMar>
            <w:top w:w="0" w:type="dxa"/>
            <w:left w:w="108" w:type="dxa"/>
            <w:bottom w:w="0" w:type="dxa"/>
            <w:right w:w="108" w:type="dxa"/>
          </w:tblCellMar>
        </w:tblPrEx>
        <w:trPr>
          <w:trHeight w:val="141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布比（北京）网络技术有限公司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布比(北京)网络技术有限公司是一家国内的区块链服务商，专注于区块链技术和产品的创新，旗下产品布比区块链系统已经广泛应用于数字资产、贸易金融、股权债券、供应链溯源、商业积分、联合征信、公示公证、电子发票、数据安全等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1343.75 </w:t>
            </w:r>
          </w:p>
        </w:tc>
      </w:tr>
      <w:tr>
        <w:tblPrEx>
          <w:tblLayout w:type="fixed"/>
          <w:tblCellMar>
            <w:top w:w="0" w:type="dxa"/>
            <w:left w:w="108" w:type="dxa"/>
            <w:bottom w:w="0" w:type="dxa"/>
            <w:right w:w="108" w:type="dxa"/>
          </w:tblCellMar>
        </w:tblPrEx>
        <w:trPr>
          <w:trHeight w:val="124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99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杭州复杂美科技有限公司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杭州复杂美科技有限公司主研区块链底层技术，为供应链金融、支付清算、电子合同等应用场景提供区块链整合方案，已在海航海平线、美的金融、电力巨头三家世界500强企业正式上线区块链项目。</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浙江省杭州市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1168.50 </w:t>
            </w:r>
          </w:p>
        </w:tc>
      </w:tr>
      <w:tr>
        <w:tblPrEx>
          <w:tblLayout w:type="fixed"/>
          <w:tblCellMar>
            <w:top w:w="0" w:type="dxa"/>
            <w:left w:w="108" w:type="dxa"/>
            <w:bottom w:w="0" w:type="dxa"/>
            <w:right w:w="108" w:type="dxa"/>
          </w:tblCellMar>
        </w:tblPrEx>
        <w:trPr>
          <w:trHeight w:val="14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深圳市腾讯计算机系统有限公司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腾讯TrustSQL是腾讯FiT（支付基础平台与金融应用线）下的区块链平台产品，于2017年4月发布区块链白皮书，面向企业提供区块链BaaS服务，主要用于数字资产、鉴证证明、共享账本等领域。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6500.00 </w:t>
            </w:r>
          </w:p>
        </w:tc>
      </w:tr>
      <w:tr>
        <w:tblPrEx>
          <w:tblLayout w:type="fixed"/>
          <w:tblCellMar>
            <w:top w:w="0" w:type="dxa"/>
            <w:left w:w="108" w:type="dxa"/>
            <w:bottom w:w="0" w:type="dxa"/>
            <w:right w:w="108" w:type="dxa"/>
          </w:tblCellMar>
        </w:tblPrEx>
        <w:trPr>
          <w:trHeight w:val="80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101</w:t>
            </w:r>
          </w:p>
        </w:tc>
        <w:tc>
          <w:tcPr>
            <w:tcW w:w="992"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数据采集企业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北京腾云天下科技有限公司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提供覆盖基本的数据统计，到深入的数据分析、挖掘服务，为移动互联网企业提供全方位的大数据解决方案。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5000.00 </w:t>
            </w:r>
          </w:p>
        </w:tc>
      </w:tr>
      <w:tr>
        <w:tblPrEx>
          <w:tblLayout w:type="fixed"/>
          <w:tblCellMar>
            <w:top w:w="0" w:type="dxa"/>
            <w:left w:w="108" w:type="dxa"/>
            <w:bottom w:w="0" w:type="dxa"/>
            <w:right w:w="108" w:type="dxa"/>
          </w:tblCellMar>
        </w:tblPrEx>
        <w:trPr>
          <w:trHeight w:val="117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102</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数据采集企业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武汉雕龙医疗数据服务股份有限公司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医疗大数据和信息化服务商，专注于医疗卫生行业大数据分析服务，包括医院数据集成平台、医疗风险数据监测与评价系统、护理质量考核系统等</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湖北省武汉市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6000.00 </w:t>
            </w:r>
          </w:p>
        </w:tc>
      </w:tr>
      <w:tr>
        <w:tblPrEx>
          <w:tblLayout w:type="fixed"/>
          <w:tblCellMar>
            <w:top w:w="0" w:type="dxa"/>
            <w:left w:w="108" w:type="dxa"/>
            <w:bottom w:w="0" w:type="dxa"/>
            <w:right w:w="108" w:type="dxa"/>
          </w:tblCellMar>
        </w:tblPrEx>
        <w:trPr>
          <w:trHeight w:val="9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北京赛思信安技术股份有限公司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北京赛思信安技术有限公司（简称“赛思信安”）成立于2007年，是一家专注于海量数据存储优化并拥有多项自主知识产权的高新技术企业。</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1566.00 </w:t>
            </w:r>
          </w:p>
        </w:tc>
      </w:tr>
      <w:tr>
        <w:tblPrEx>
          <w:tblLayout w:type="fixed"/>
          <w:tblCellMar>
            <w:top w:w="0" w:type="dxa"/>
            <w:left w:w="108" w:type="dxa"/>
            <w:bottom w:w="0" w:type="dxa"/>
            <w:right w:w="108" w:type="dxa"/>
          </w:tblCellMar>
        </w:tblPrEx>
        <w:trPr>
          <w:trHeight w:val="119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北京百分点信息科技有限公司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为电子商务企业与互联网媒体企业提供站内流量转化和商业智能分析的相关产品与整体优化解决方案，同时也为传统行业提供大数据基础技术、大数据管理和应用的云平台和整体解决方案。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1123.00 </w:t>
            </w:r>
          </w:p>
        </w:tc>
      </w:tr>
      <w:tr>
        <w:tblPrEx>
          <w:tblLayout w:type="fixed"/>
          <w:tblCellMar>
            <w:top w:w="0" w:type="dxa"/>
            <w:left w:w="108" w:type="dxa"/>
            <w:bottom w:w="0" w:type="dxa"/>
            <w:right w:w="108" w:type="dxa"/>
          </w:tblCellMar>
        </w:tblPrEx>
        <w:trPr>
          <w:trHeight w:val="163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105</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上海移远通信技术股份有限公司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上海移远通信技术股份有限公司是全球领先的GSM/GPRS、WCDMA/HSPA(+)、LTE、GNSS模组供应商，同时也是全球首个符合3GPP R13标准的NB-IoT模组厂商。超小尺寸、超低功耗、易于集成、长期使用性及超高的稳定性是移远通信模组产品的核心特点。</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6688.00 </w:t>
            </w:r>
          </w:p>
        </w:tc>
      </w:tr>
      <w:tr>
        <w:tblPrEx>
          <w:tblLayout w:type="fixed"/>
          <w:tblCellMar>
            <w:top w:w="0" w:type="dxa"/>
            <w:left w:w="108" w:type="dxa"/>
            <w:bottom w:w="0" w:type="dxa"/>
            <w:right w:w="108" w:type="dxa"/>
          </w:tblCellMar>
        </w:tblPrEx>
        <w:trPr>
          <w:trHeight w:val="1005"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西安美林数据技术股份有限公司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是国内知名的工业大数据领军企业，重点面向智能电网、智能制造等工业领域企业客户，提供包括大数据产品与技术服务在内的大数据增值解决方案。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西安市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8690.00 </w:t>
            </w:r>
          </w:p>
        </w:tc>
      </w:tr>
      <w:tr>
        <w:tblPrEx>
          <w:tblLayout w:type="fixed"/>
          <w:tblCellMar>
            <w:top w:w="0" w:type="dxa"/>
            <w:left w:w="108" w:type="dxa"/>
            <w:bottom w:w="0" w:type="dxa"/>
            <w:right w:w="108" w:type="dxa"/>
          </w:tblCellMar>
        </w:tblPrEx>
        <w:trPr>
          <w:trHeight w:val="123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107</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数据清洗企业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北京数字冰雹信息技术有限公司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应用于航空航天、国防军工、商业智能、智慧城市等领域的大数据可视化分析服务。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500.00 </w:t>
            </w:r>
          </w:p>
        </w:tc>
      </w:tr>
      <w:tr>
        <w:tblPrEx>
          <w:tblLayout w:type="fixed"/>
          <w:tblCellMar>
            <w:top w:w="0" w:type="dxa"/>
            <w:left w:w="108" w:type="dxa"/>
            <w:bottom w:w="0" w:type="dxa"/>
            <w:right w:w="108" w:type="dxa"/>
          </w:tblCellMar>
        </w:tblPrEx>
        <w:trPr>
          <w:trHeight w:val="63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108</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北京永洪商智科技有限公司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从事数据管理(包括ETL，DWD，DWA)和数据价值发掘(包括BI)。</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1600.35 </w:t>
            </w:r>
          </w:p>
        </w:tc>
      </w:tr>
      <w:tr>
        <w:tblPrEx>
          <w:tblLayout w:type="fixed"/>
          <w:tblCellMar>
            <w:top w:w="0" w:type="dxa"/>
            <w:left w:w="108" w:type="dxa"/>
            <w:bottom w:w="0" w:type="dxa"/>
            <w:right w:w="108" w:type="dxa"/>
          </w:tblCellMar>
        </w:tblPrEx>
        <w:trPr>
          <w:trHeight w:val="114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109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华院数据技术（上海）有限公司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提供基于数据挖掘的面向营销分析和管理、客户关系管理和决策支持的应用软件和咨询解决方案。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1594.39 </w:t>
            </w:r>
          </w:p>
        </w:tc>
      </w:tr>
      <w:tr>
        <w:tblPrEx>
          <w:tblLayout w:type="fixed"/>
          <w:tblCellMar>
            <w:top w:w="0" w:type="dxa"/>
            <w:left w:w="108" w:type="dxa"/>
            <w:bottom w:w="0" w:type="dxa"/>
            <w:right w:w="108" w:type="dxa"/>
          </w:tblCellMar>
        </w:tblPrEx>
        <w:trPr>
          <w:trHeight w:val="9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成都数联铭品科技有限公司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提供全息画像识别企业风险、金融产品风险定价、商业反欺诈等数据服务，以及从数据清洗、模型构建、算法设计到工程实施的大数据服务。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四川省成都市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874.06 </w:t>
            </w:r>
          </w:p>
        </w:tc>
      </w:tr>
      <w:tr>
        <w:tblPrEx>
          <w:tblLayout w:type="fixed"/>
          <w:tblCellMar>
            <w:top w:w="0" w:type="dxa"/>
            <w:left w:w="108" w:type="dxa"/>
            <w:bottom w:w="0" w:type="dxa"/>
            <w:right w:w="108" w:type="dxa"/>
          </w:tblCellMar>
        </w:tblPrEx>
        <w:trPr>
          <w:trHeight w:val="200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111</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IDC服务商（数据中心）</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华为技术有限公司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华为企业云致力于为广大企业、政府和创新创业群体提供安全、中立、可靠的IT基础设施云服务，聚焦在IT基础设施领域，为客户提供7x24小时不间断的云服务。华为企业云服务所有数据中心均采用T3+的高规格机房建设标准，拥有高可靠的电力、不间断制冷、快速自动灭火、一流基础建筑和完善的机房监控，满足企业应用的高安全可靠要求。</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深圳市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3990813.18 </w:t>
            </w:r>
          </w:p>
        </w:tc>
      </w:tr>
      <w:tr>
        <w:tblPrEx>
          <w:tblLayout w:type="fixed"/>
          <w:tblCellMar>
            <w:top w:w="0" w:type="dxa"/>
            <w:left w:w="108" w:type="dxa"/>
            <w:bottom w:w="0" w:type="dxa"/>
            <w:right w:w="108" w:type="dxa"/>
          </w:tblCellMar>
        </w:tblPrEx>
        <w:trPr>
          <w:trHeight w:val="141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112</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浪潮集团有限公司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浪潮是中国领先的云计算、大数据服务商，凭借浪潮高端服务器、海量存储、云操作系统、信息安全技术为客户打造领先的云计算基础架构平台，基于浪潮政务、企业、行业信息化软件、终端产品和解决方案，全面支撑智慧政府、企业云、垂直行业云建设。</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山东省</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82121.86 </w:t>
            </w:r>
          </w:p>
        </w:tc>
      </w:tr>
      <w:tr>
        <w:tblPrEx>
          <w:tblLayout w:type="fixed"/>
          <w:tblCellMar>
            <w:top w:w="0" w:type="dxa"/>
            <w:left w:w="108" w:type="dxa"/>
            <w:bottom w:w="0" w:type="dxa"/>
            <w:right w:w="108" w:type="dxa"/>
          </w:tblCellMar>
        </w:tblPrEx>
        <w:trPr>
          <w:trHeight w:val="135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113</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世纪互联数据中心有限公司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世纪互联是中国最大第三方独立数据中心运营商，致力于提供业界领先的数据中心服务、中立的云运营、中立的混合IT服务和领先的CDN服务，拥有近20年的数据中心建设、运维经验。以国内云、国际云、精品机房为抓手，致力于打造开放的混合IT生态系统。</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12966.56 </w:t>
            </w:r>
          </w:p>
        </w:tc>
      </w:tr>
      <w:tr>
        <w:tblPrEx>
          <w:tblLayout w:type="fixed"/>
          <w:tblCellMar>
            <w:top w:w="0" w:type="dxa"/>
            <w:left w:w="108" w:type="dxa"/>
            <w:bottom w:w="0" w:type="dxa"/>
            <w:right w:w="108" w:type="dxa"/>
          </w:tblCellMar>
        </w:tblPrEx>
        <w:trPr>
          <w:trHeight w:val="161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114</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鹏博士电信传媒集团股份有限公司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鹏博士拥有全国最大规模的分布式中立数据中心集群，新建数据中心建设标准达到美国ANSI TIA-942-Tier 3+/4 标准。专业从事基于互联网服务业务的电信增值服务业务，主要包括互联网专线接入、电子政务、互联网数据中心（IDC）等网络增值服务。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四川省成都市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143245.65 </w:t>
            </w:r>
          </w:p>
        </w:tc>
      </w:tr>
      <w:tr>
        <w:tblPrEx>
          <w:tblLayout w:type="fixed"/>
          <w:tblCellMar>
            <w:top w:w="0" w:type="dxa"/>
            <w:left w:w="108" w:type="dxa"/>
            <w:bottom w:w="0" w:type="dxa"/>
            <w:right w:w="108" w:type="dxa"/>
          </w:tblCellMar>
        </w:tblPrEx>
        <w:trPr>
          <w:trHeight w:val="534"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115</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外包型呼叫中心企业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贵阳华云服务外包产业有限公司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华云服务团队凭借近20年的呼叫中心外包及呼叫中心标准实施经验，提供全天候的基于电话、电子邮件、短信/彩信、互联网等社交媒体及线上互动的客户服务、电话销售、客户维系、技术支持、订单处理、后台服务、大数据处理等呼叫中心外包及基地运营工作。</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贵州省贵阳市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3000.00 </w:t>
            </w:r>
          </w:p>
        </w:tc>
      </w:tr>
      <w:tr>
        <w:tblPrEx>
          <w:tblLayout w:type="fixed"/>
          <w:tblCellMar>
            <w:top w:w="0" w:type="dxa"/>
            <w:left w:w="108" w:type="dxa"/>
            <w:bottom w:w="0" w:type="dxa"/>
            <w:right w:w="108" w:type="dxa"/>
          </w:tblCellMar>
        </w:tblPrEx>
        <w:trPr>
          <w:trHeight w:val="150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116</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北京九五太维资讯有限公司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九五太维（95teleweb）是中国第一家“外包型呼叫中心”。基于丰富的实践经验，成为国内第一家提供“面向呼叫中心业界的咨询和培训服务”的呼叫中心。是国内第一家引进COPC理念的BPO业务中心，也是中国第一家取得ISO9000和国际SCP认证的外包型呼叫中心。</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1203.00 </w:t>
            </w:r>
          </w:p>
        </w:tc>
      </w:tr>
      <w:tr>
        <w:tblPrEx>
          <w:tblLayout w:type="fixed"/>
          <w:tblCellMar>
            <w:top w:w="0" w:type="dxa"/>
            <w:left w:w="108" w:type="dxa"/>
            <w:bottom w:w="0" w:type="dxa"/>
            <w:right w:w="108" w:type="dxa"/>
          </w:tblCellMar>
        </w:tblPrEx>
        <w:trPr>
          <w:trHeight w:val="1193"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117</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大连易尚阳光科技有限公司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大连易尚阳光科技有限公司，是一家以服务外包型呼叫中心为主业，以日文录入、电子商务为辅的IT科技型企业。目前，公司已建立江苏宿迁分公司、沈阳分公司，同时也在北京、上海等地设立办事处。</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辽宁省大连市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500.00 </w:t>
            </w:r>
          </w:p>
        </w:tc>
      </w:tr>
      <w:tr>
        <w:tblPrEx>
          <w:tblLayout w:type="fixed"/>
          <w:tblCellMar>
            <w:top w:w="0" w:type="dxa"/>
            <w:left w:w="108" w:type="dxa"/>
            <w:bottom w:w="0" w:type="dxa"/>
            <w:right w:w="108" w:type="dxa"/>
          </w:tblCellMar>
        </w:tblPrEx>
        <w:trPr>
          <w:trHeight w:val="1800"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118</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托管型呼叫中心企业</w:t>
            </w: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北京讯鸟软件有限公司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北京讯鸟软件有限公司创立于2001年，是中国领先的呼叫中心及云计算应用服务商。公司倡导“人性化科技帮助客户提升业绩”，致力于帮助企业利用云计算技术，以客户为中心，协同各种经营资源，改善营销流和服务流，从而提高人均产值，重塑客户体验。讯鸟软件是中国云计算呼叫中心理念的首倡者和市场领导者，运营着全国最大规模的公云呼叫中心平台。</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1333.33 </w:t>
            </w:r>
          </w:p>
        </w:tc>
      </w:tr>
      <w:tr>
        <w:tblPrEx>
          <w:tblLayout w:type="fixed"/>
          <w:tblCellMar>
            <w:top w:w="0" w:type="dxa"/>
            <w:left w:w="108" w:type="dxa"/>
            <w:bottom w:w="0" w:type="dxa"/>
            <w:right w:w="108" w:type="dxa"/>
          </w:tblCellMar>
        </w:tblPrEx>
        <w:trPr>
          <w:trHeight w:val="126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119</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维音数码（上海）有限公司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维音数码/维音信息（Vision-X，Inc.）是专业的呼叫中心外包提供商和CRM软件开发商，总部位于美国，提供电话营销/客户服务/市场调查/Inside Sales/CRM软件开发等多种服务。</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上海市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1652.32 </w:t>
            </w:r>
          </w:p>
        </w:tc>
      </w:tr>
      <w:tr>
        <w:tblPrEx>
          <w:tblLayout w:type="fixed"/>
          <w:tblCellMar>
            <w:top w:w="0" w:type="dxa"/>
            <w:left w:w="108" w:type="dxa"/>
            <w:bottom w:w="0" w:type="dxa"/>
            <w:right w:w="108" w:type="dxa"/>
          </w:tblCellMar>
        </w:tblPrEx>
        <w:trPr>
          <w:trHeight w:val="141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120</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北京天润融通科技股份有限公司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天润融通致力于推动呼叫中心系统和资源建设从“硬件集成”向“云化服务”转变，开创了呼叫中心新的服务模式，总部设在北京云基地，在上海和深圳分别设有华东和华南总部。</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北京市</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2460.00 </w:t>
            </w:r>
          </w:p>
        </w:tc>
      </w:tr>
      <w:tr>
        <w:tblPrEx>
          <w:tblLayout w:type="fixed"/>
          <w:tblCellMar>
            <w:top w:w="0" w:type="dxa"/>
            <w:left w:w="108" w:type="dxa"/>
            <w:bottom w:w="0" w:type="dxa"/>
            <w:right w:w="108" w:type="dxa"/>
          </w:tblCellMar>
        </w:tblPrEx>
        <w:trPr>
          <w:trHeight w:val="3188" w:hRule="atLeast"/>
        </w:trPr>
        <w:tc>
          <w:tcPr>
            <w:tcW w:w="591"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121</w:t>
            </w:r>
          </w:p>
        </w:tc>
        <w:tc>
          <w:tcPr>
            <w:tcW w:w="992"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仿宋_GB2312" w:hAnsi="等线" w:cs="宋体"/>
                <w:kern w:val="0"/>
                <w:sz w:val="24"/>
                <w:szCs w:val="24"/>
                <w:highlight w:val="none"/>
              </w:rPr>
            </w:pPr>
          </w:p>
        </w:tc>
        <w:tc>
          <w:tcPr>
            <w:tcW w:w="1258"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江苏鸿信系统集成有限公司</w:t>
            </w:r>
          </w:p>
        </w:tc>
        <w:tc>
          <w:tcPr>
            <w:tcW w:w="9252" w:type="dxa"/>
            <w:tcBorders>
              <w:top w:val="nil"/>
              <w:left w:val="nil"/>
              <w:bottom w:val="single" w:color="auto" w:sz="4" w:space="0"/>
              <w:right w:val="single" w:color="auto" w:sz="4" w:space="0"/>
            </w:tcBorders>
            <w:shd w:val="clear" w:color="auto" w:fill="auto"/>
            <w:vAlign w:val="center"/>
          </w:tcPr>
          <w:p>
            <w:pPr>
              <w:widowControl/>
              <w:spacing w:line="240" w:lineRule="auto"/>
              <w:jc w:val="left"/>
              <w:rPr>
                <w:rFonts w:ascii="仿宋_GB2312" w:hAnsi="等线" w:cs="宋体"/>
                <w:kern w:val="0"/>
                <w:sz w:val="24"/>
                <w:szCs w:val="24"/>
                <w:highlight w:val="none"/>
              </w:rPr>
            </w:pPr>
            <w:r>
              <w:rPr>
                <w:rFonts w:hint="eastAsia" w:ascii="仿宋_GB2312" w:hAnsi="等线" w:cs="宋体"/>
                <w:kern w:val="0"/>
                <w:sz w:val="24"/>
                <w:szCs w:val="24"/>
                <w:highlight w:val="none"/>
              </w:rPr>
              <w:t>2007 年10 月成立，公司拥有高新技术企业、江苏省企业技术中心、CMMI 5 级、信息系统集成及服务资质一级、电子与智能化工程专业承包一级、建筑智能化系统设计专项甲级等重要资质，为政府和企业客户提供信息化解决方案提供了有效保障。公司拥有自主研发的多媒体呼叫中心系统、12345政府服务热线及智慧城市等多种系统软件。公司通过人才队伍建设和行业研究稳步拓展DICT业务，在政务、交通、旅游、教育、电信等多个行业都有丰富的经验积累，同时公司在大数据、云计算、物联网等领域也形成了深厚的技术储备，能够为政府和企业用户提供包含咨询、设计、开发、运营、维护在内的整体信息化解决方案。</w:t>
            </w:r>
          </w:p>
        </w:tc>
        <w:tc>
          <w:tcPr>
            <w:tcW w:w="605"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江苏省</w:t>
            </w:r>
          </w:p>
        </w:tc>
        <w:tc>
          <w:tcPr>
            <w:tcW w:w="1476" w:type="dxa"/>
            <w:tcBorders>
              <w:top w:val="nil"/>
              <w:left w:val="nil"/>
              <w:bottom w:val="single" w:color="auto" w:sz="4" w:space="0"/>
              <w:right w:val="single" w:color="auto" w:sz="4" w:space="0"/>
            </w:tcBorders>
            <w:shd w:val="clear" w:color="auto" w:fill="auto"/>
            <w:vAlign w:val="center"/>
          </w:tcPr>
          <w:p>
            <w:pPr>
              <w:widowControl/>
              <w:spacing w:line="240" w:lineRule="auto"/>
              <w:jc w:val="center"/>
              <w:rPr>
                <w:rFonts w:ascii="仿宋_GB2312" w:hAnsi="等线" w:cs="宋体"/>
                <w:kern w:val="0"/>
                <w:sz w:val="24"/>
                <w:szCs w:val="24"/>
                <w:highlight w:val="none"/>
              </w:rPr>
            </w:pPr>
            <w:r>
              <w:rPr>
                <w:rFonts w:hint="eastAsia" w:ascii="仿宋_GB2312" w:hAnsi="等线" w:cs="宋体"/>
                <w:kern w:val="0"/>
                <w:sz w:val="24"/>
                <w:szCs w:val="24"/>
                <w:highlight w:val="none"/>
              </w:rPr>
              <w:t xml:space="preserve">11000.00 </w:t>
            </w:r>
          </w:p>
        </w:tc>
      </w:tr>
    </w:tbl>
    <w:p>
      <w:pPr>
        <w:rPr>
          <w:highlight w:val="none"/>
        </w:rPr>
      </w:pPr>
    </w:p>
    <w:p>
      <w:pPr>
        <w:rPr>
          <w:highlight w:val="none"/>
        </w:rPr>
      </w:pPr>
    </w:p>
    <w:sectPr>
      <w:pgSz w:w="16838" w:h="11906" w:orient="landscape"/>
      <w:pgMar w:top="1800" w:right="1440" w:bottom="1800" w:left="1440" w:header="851" w:footer="992" w:gutter="0"/>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Mangal">
    <w:panose1 w:val="02040503050203030202"/>
    <w:charset w:val="00"/>
    <w:family w:val="roman"/>
    <w:pitch w:val="default"/>
    <w:sig w:usb0="00008003"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9574273"/>
      <w:showingPlcHdr/>
    </w:sdtPr>
    <w:sdtContent>
      <w:p>
        <w:pPr>
          <w:pStyle w:val="23"/>
          <w:jc w:val="center"/>
        </w:pPr>
        <w: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1821875"/>
      <w:docPartObj>
        <w:docPartGallery w:val="autotext"/>
      </w:docPartObj>
    </w:sdtPr>
    <w:sdtContent>
      <w:p>
        <w:pPr>
          <w:pStyle w:val="23"/>
          <w:jc w:val="center"/>
        </w:pPr>
        <w:r>
          <w:fldChar w:fldCharType="begin"/>
        </w:r>
        <w:r>
          <w:instrText xml:space="preserve">PAGE   \* MERGEFORMAT</w:instrText>
        </w:r>
        <w:r>
          <w:fldChar w:fldCharType="separate"/>
        </w:r>
        <w:r>
          <w:rPr>
            <w:lang w:val="zh-CN"/>
          </w:rPr>
          <w:t>III</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7498413"/>
      <w:docPartObj>
        <w:docPartGallery w:val="autotext"/>
      </w:docPartObj>
    </w:sdtPr>
    <w:sdtContent>
      <w:p>
        <w:pPr>
          <w:pStyle w:val="23"/>
          <w:jc w:val="center"/>
        </w:pPr>
        <w:r>
          <w:fldChar w:fldCharType="begin"/>
        </w:r>
        <w:r>
          <w:instrText xml:space="preserve">PAGE   \* MERGEFORMAT</w:instrText>
        </w:r>
        <w:r>
          <w:fldChar w:fldCharType="separate"/>
        </w:r>
        <w:r>
          <w:rPr>
            <w:lang w:val="zh-CN"/>
          </w:rPr>
          <w:t>64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7522265"/>
      <w:docPartObj>
        <w:docPartGallery w:val="autotext"/>
      </w:docPartObj>
    </w:sdtPr>
    <w:sdtContent>
      <w:p>
        <w:pPr>
          <w:pStyle w:val="23"/>
          <w:jc w:val="center"/>
        </w:pPr>
        <w:r>
          <w:fldChar w:fldCharType="begin"/>
        </w:r>
        <w:r>
          <w:instrText xml:space="preserve">PAGE   \* MERGEFORMAT</w:instrText>
        </w:r>
        <w:r>
          <w:fldChar w:fldCharType="separate"/>
        </w:r>
        <w:r>
          <w:rPr>
            <w:lang w:val="zh-CN"/>
          </w:rPr>
          <w:t>121</w:t>
        </w:r>
        <w:r>
          <w:fldChar w:fldCharType="end"/>
        </w:r>
      </w:p>
    </w:sdtContent>
  </w:sdt>
  <w:p>
    <w:pPr>
      <w:pStyle w:val="2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chineseCountingThousand"/>
      <w:lvlText w:val="%1."/>
      <w:lvlJc w:val="left"/>
      <w:pPr>
        <w:tabs>
          <w:tab w:val="left" w:pos="0"/>
        </w:tabs>
        <w:ind w:left="425" w:hanging="425"/>
      </w:pPr>
      <w:rPr>
        <w:rFonts w:hint="eastAsia"/>
      </w:rPr>
    </w:lvl>
    <w:lvl w:ilvl="1" w:tentative="0">
      <w:start w:val="1"/>
      <w:numFmt w:val="decimal"/>
      <w:suff w:val="space"/>
      <w:lvlText w:val="%2."/>
      <w:lvlJc w:val="left"/>
      <w:pPr>
        <w:ind w:left="851" w:hanging="425"/>
      </w:pPr>
      <w:rPr>
        <w:rFonts w:hint="eastAsia"/>
      </w:rPr>
    </w:lvl>
    <w:lvl w:ilvl="2" w:tentative="0">
      <w:start w:val="1"/>
      <w:numFmt w:val="decimal"/>
      <w:suff w:val="space"/>
      <w:lvlText w:val="%2.%3."/>
      <w:lvlJc w:val="left"/>
      <w:pPr>
        <w:ind w:left="851" w:hanging="425"/>
      </w:pPr>
      <w:rPr>
        <w:rFonts w:hint="eastAsia"/>
      </w:rPr>
    </w:lvl>
    <w:lvl w:ilvl="3" w:tentative="0">
      <w:start w:val="1"/>
      <w:numFmt w:val="decimal"/>
      <w:suff w:val="space"/>
      <w:lvlText w:val="%2.%3.%4. "/>
      <w:lvlJc w:val="left"/>
      <w:pPr>
        <w:ind w:left="1134" w:hanging="397"/>
      </w:pPr>
      <w:rPr>
        <w:rFonts w:hint="eastAsia" w:ascii="黑体" w:eastAsia="黑体"/>
        <w:b w:val="0"/>
        <w:i w:val="0"/>
        <w:sz w:val="28"/>
      </w:rPr>
    </w:lvl>
    <w:lvl w:ilvl="4" w:tentative="0">
      <w:start w:val="1"/>
      <w:numFmt w:val="decimal"/>
      <w:suff w:val="space"/>
      <w:lvlText w:val="(%5)"/>
      <w:lvlJc w:val="left"/>
      <w:pPr>
        <w:ind w:left="1247" w:hanging="567"/>
      </w:pPr>
      <w:rPr>
        <w:rFonts w:hint="eastAsia" w:ascii="仿宋_GB2312" w:eastAsia="仿宋_GB2312"/>
        <w:b w:val="0"/>
        <w:i w:val="0"/>
        <w:sz w:val="28"/>
      </w:rPr>
    </w:lvl>
    <w:lvl w:ilvl="5" w:tentative="0">
      <w:start w:val="1"/>
      <w:numFmt w:val="lowerLetter"/>
      <w:lvlText w:val="(%6)"/>
      <w:lvlJc w:val="left"/>
      <w:pPr>
        <w:tabs>
          <w:tab w:val="left" w:pos="0"/>
        </w:tabs>
        <w:ind w:left="2550" w:hanging="425"/>
      </w:pPr>
      <w:rPr>
        <w:rFonts w:hint="eastAsia"/>
      </w:rPr>
    </w:lvl>
    <w:lvl w:ilvl="6" w:tentative="0">
      <w:start w:val="1"/>
      <w:numFmt w:val="lowerRoman"/>
      <w:lvlText w:val="(%7)"/>
      <w:lvlJc w:val="left"/>
      <w:pPr>
        <w:tabs>
          <w:tab w:val="left" w:pos="0"/>
        </w:tabs>
        <w:ind w:left="2975" w:hanging="425"/>
      </w:pPr>
      <w:rPr>
        <w:rFonts w:hint="eastAsia"/>
      </w:rPr>
    </w:lvl>
    <w:lvl w:ilvl="7" w:tentative="0">
      <w:start w:val="1"/>
      <w:numFmt w:val="lowerLetter"/>
      <w:pStyle w:val="9"/>
      <w:lvlText w:val="(%8)"/>
      <w:lvlJc w:val="left"/>
      <w:pPr>
        <w:tabs>
          <w:tab w:val="left" w:pos="0"/>
        </w:tabs>
        <w:ind w:left="3400" w:hanging="425"/>
      </w:pPr>
      <w:rPr>
        <w:rFonts w:hint="eastAsia"/>
      </w:rPr>
    </w:lvl>
    <w:lvl w:ilvl="8" w:tentative="0">
      <w:start w:val="1"/>
      <w:numFmt w:val="lowerRoman"/>
      <w:pStyle w:val="10"/>
      <w:lvlText w:val="(%9)"/>
      <w:lvlJc w:val="left"/>
      <w:pPr>
        <w:tabs>
          <w:tab w:val="left" w:pos="0"/>
        </w:tabs>
        <w:ind w:left="3825" w:hanging="425"/>
      </w:pPr>
      <w:rPr>
        <w:rFonts w:hint="eastAsia"/>
      </w:rPr>
    </w:lvl>
  </w:abstractNum>
  <w:abstractNum w:abstractNumId="1">
    <w:nsid w:val="00503796"/>
    <w:multiLevelType w:val="multilevel"/>
    <w:tmpl w:val="00503796"/>
    <w:lvl w:ilvl="0" w:tentative="0">
      <w:start w:val="1"/>
      <w:numFmt w:val="chineseCountingThousand"/>
      <w:pStyle w:val="68"/>
      <w:lvlText w:val="(%1)"/>
      <w:lvlJc w:val="left"/>
      <w:pPr>
        <w:ind w:left="845" w:hanging="420"/>
      </w:p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2">
    <w:nsid w:val="27621E33"/>
    <w:multiLevelType w:val="multilevel"/>
    <w:tmpl w:val="27621E33"/>
    <w:lvl w:ilvl="0" w:tentative="0">
      <w:start w:val="1"/>
      <w:numFmt w:val="decimal"/>
      <w:pStyle w:val="76"/>
      <w:lvlText w:val="表%1."/>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5F5ED1"/>
    <w:multiLevelType w:val="multilevel"/>
    <w:tmpl w:val="295F5ED1"/>
    <w:lvl w:ilvl="0" w:tentative="0">
      <w:start w:val="1"/>
      <w:numFmt w:val="chineseCountingThousand"/>
      <w:pStyle w:val="66"/>
      <w:lvlText w:val="(%1)"/>
      <w:lvlJc w:val="left"/>
      <w:pPr>
        <w:ind w:left="845" w:hanging="420"/>
      </w:p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4">
    <w:nsid w:val="56357151"/>
    <w:multiLevelType w:val="multilevel"/>
    <w:tmpl w:val="56357151"/>
    <w:lvl w:ilvl="0" w:tentative="0">
      <w:start w:val="1"/>
      <w:numFmt w:val="decimal"/>
      <w:pStyle w:val="64"/>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HorizontalSpacing w:val="140"/>
  <w:drawingGridVerticalSpacing w:val="381"/>
  <w:displayHorizont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F13"/>
    <w:rsid w:val="00000345"/>
    <w:rsid w:val="00001204"/>
    <w:rsid w:val="000012B3"/>
    <w:rsid w:val="0000161C"/>
    <w:rsid w:val="00001686"/>
    <w:rsid w:val="00001E18"/>
    <w:rsid w:val="00002065"/>
    <w:rsid w:val="00002291"/>
    <w:rsid w:val="000032C7"/>
    <w:rsid w:val="00003557"/>
    <w:rsid w:val="0000371A"/>
    <w:rsid w:val="00003AD7"/>
    <w:rsid w:val="00003EAF"/>
    <w:rsid w:val="0000494A"/>
    <w:rsid w:val="00004E5A"/>
    <w:rsid w:val="00004EC4"/>
    <w:rsid w:val="00005323"/>
    <w:rsid w:val="00005AF9"/>
    <w:rsid w:val="00005C11"/>
    <w:rsid w:val="000062A3"/>
    <w:rsid w:val="00006585"/>
    <w:rsid w:val="00006DA6"/>
    <w:rsid w:val="00007366"/>
    <w:rsid w:val="00007C9D"/>
    <w:rsid w:val="000101FD"/>
    <w:rsid w:val="00010358"/>
    <w:rsid w:val="00010CC6"/>
    <w:rsid w:val="0001106C"/>
    <w:rsid w:val="000112A4"/>
    <w:rsid w:val="00011454"/>
    <w:rsid w:val="00011E70"/>
    <w:rsid w:val="000121F2"/>
    <w:rsid w:val="0001314C"/>
    <w:rsid w:val="00013151"/>
    <w:rsid w:val="00013376"/>
    <w:rsid w:val="000139C7"/>
    <w:rsid w:val="00014003"/>
    <w:rsid w:val="000144A6"/>
    <w:rsid w:val="000152B7"/>
    <w:rsid w:val="000153D3"/>
    <w:rsid w:val="000155EC"/>
    <w:rsid w:val="00015831"/>
    <w:rsid w:val="00015C5C"/>
    <w:rsid w:val="000168D5"/>
    <w:rsid w:val="00017506"/>
    <w:rsid w:val="0002113D"/>
    <w:rsid w:val="0002140F"/>
    <w:rsid w:val="000214D6"/>
    <w:rsid w:val="000215B7"/>
    <w:rsid w:val="00021688"/>
    <w:rsid w:val="00021B85"/>
    <w:rsid w:val="00021E96"/>
    <w:rsid w:val="000224ED"/>
    <w:rsid w:val="000227F8"/>
    <w:rsid w:val="00022CA2"/>
    <w:rsid w:val="00023175"/>
    <w:rsid w:val="000234CD"/>
    <w:rsid w:val="00023946"/>
    <w:rsid w:val="00023AD9"/>
    <w:rsid w:val="00024187"/>
    <w:rsid w:val="000250F1"/>
    <w:rsid w:val="0002623C"/>
    <w:rsid w:val="0002675E"/>
    <w:rsid w:val="00026FDF"/>
    <w:rsid w:val="00027294"/>
    <w:rsid w:val="000272E5"/>
    <w:rsid w:val="000275E5"/>
    <w:rsid w:val="00027607"/>
    <w:rsid w:val="000303E8"/>
    <w:rsid w:val="0003180E"/>
    <w:rsid w:val="000318FD"/>
    <w:rsid w:val="000321F2"/>
    <w:rsid w:val="0003269E"/>
    <w:rsid w:val="00032885"/>
    <w:rsid w:val="00032C67"/>
    <w:rsid w:val="00032EB4"/>
    <w:rsid w:val="00033170"/>
    <w:rsid w:val="00033907"/>
    <w:rsid w:val="000347D0"/>
    <w:rsid w:val="0003494E"/>
    <w:rsid w:val="00035877"/>
    <w:rsid w:val="00036C7E"/>
    <w:rsid w:val="00037780"/>
    <w:rsid w:val="00041E2E"/>
    <w:rsid w:val="000420AF"/>
    <w:rsid w:val="0004291B"/>
    <w:rsid w:val="00042E92"/>
    <w:rsid w:val="00043020"/>
    <w:rsid w:val="000434B7"/>
    <w:rsid w:val="00044026"/>
    <w:rsid w:val="00045321"/>
    <w:rsid w:val="000454E8"/>
    <w:rsid w:val="000460D1"/>
    <w:rsid w:val="00046660"/>
    <w:rsid w:val="0004717D"/>
    <w:rsid w:val="00050FE0"/>
    <w:rsid w:val="00051A06"/>
    <w:rsid w:val="000521C4"/>
    <w:rsid w:val="00053907"/>
    <w:rsid w:val="00053924"/>
    <w:rsid w:val="00054385"/>
    <w:rsid w:val="0005597E"/>
    <w:rsid w:val="00055A7E"/>
    <w:rsid w:val="000574A4"/>
    <w:rsid w:val="00057642"/>
    <w:rsid w:val="00060077"/>
    <w:rsid w:val="00060C4E"/>
    <w:rsid w:val="00060D13"/>
    <w:rsid w:val="00061C8B"/>
    <w:rsid w:val="000629AE"/>
    <w:rsid w:val="00062E55"/>
    <w:rsid w:val="00062F9E"/>
    <w:rsid w:val="00063BDF"/>
    <w:rsid w:val="00063CA4"/>
    <w:rsid w:val="00063E3A"/>
    <w:rsid w:val="0006477E"/>
    <w:rsid w:val="00064AFF"/>
    <w:rsid w:val="00064B54"/>
    <w:rsid w:val="00064D7C"/>
    <w:rsid w:val="00064E39"/>
    <w:rsid w:val="00066936"/>
    <w:rsid w:val="00067595"/>
    <w:rsid w:val="00067E05"/>
    <w:rsid w:val="00070309"/>
    <w:rsid w:val="00071BEC"/>
    <w:rsid w:val="00072D85"/>
    <w:rsid w:val="00073578"/>
    <w:rsid w:val="00073D7C"/>
    <w:rsid w:val="00073E7A"/>
    <w:rsid w:val="00074BC9"/>
    <w:rsid w:val="00074FE0"/>
    <w:rsid w:val="0007566B"/>
    <w:rsid w:val="00075C57"/>
    <w:rsid w:val="00076923"/>
    <w:rsid w:val="00076B69"/>
    <w:rsid w:val="0007770F"/>
    <w:rsid w:val="00077E59"/>
    <w:rsid w:val="00080D6C"/>
    <w:rsid w:val="00081249"/>
    <w:rsid w:val="000816B1"/>
    <w:rsid w:val="00081EC7"/>
    <w:rsid w:val="00082959"/>
    <w:rsid w:val="00082C41"/>
    <w:rsid w:val="00085317"/>
    <w:rsid w:val="00085F92"/>
    <w:rsid w:val="00086070"/>
    <w:rsid w:val="000877EC"/>
    <w:rsid w:val="000900BD"/>
    <w:rsid w:val="0009096D"/>
    <w:rsid w:val="00090D2C"/>
    <w:rsid w:val="00092000"/>
    <w:rsid w:val="0009297B"/>
    <w:rsid w:val="00092C03"/>
    <w:rsid w:val="00092D2E"/>
    <w:rsid w:val="00093A29"/>
    <w:rsid w:val="00094C78"/>
    <w:rsid w:val="0009515F"/>
    <w:rsid w:val="000953B3"/>
    <w:rsid w:val="00096BD8"/>
    <w:rsid w:val="00096E2B"/>
    <w:rsid w:val="00096FE5"/>
    <w:rsid w:val="000971CF"/>
    <w:rsid w:val="000979C3"/>
    <w:rsid w:val="00097D2B"/>
    <w:rsid w:val="00097ECF"/>
    <w:rsid w:val="000A04F0"/>
    <w:rsid w:val="000A0754"/>
    <w:rsid w:val="000A081C"/>
    <w:rsid w:val="000A1206"/>
    <w:rsid w:val="000A1E41"/>
    <w:rsid w:val="000A2D04"/>
    <w:rsid w:val="000A3056"/>
    <w:rsid w:val="000A3A2A"/>
    <w:rsid w:val="000A3ACA"/>
    <w:rsid w:val="000A3B7E"/>
    <w:rsid w:val="000A44CA"/>
    <w:rsid w:val="000A5643"/>
    <w:rsid w:val="000A575B"/>
    <w:rsid w:val="000A59A2"/>
    <w:rsid w:val="000A61C1"/>
    <w:rsid w:val="000A676D"/>
    <w:rsid w:val="000A6D84"/>
    <w:rsid w:val="000A7CE0"/>
    <w:rsid w:val="000A7CE8"/>
    <w:rsid w:val="000B0AAE"/>
    <w:rsid w:val="000B0D3E"/>
    <w:rsid w:val="000B1DDC"/>
    <w:rsid w:val="000B1F18"/>
    <w:rsid w:val="000B2D9E"/>
    <w:rsid w:val="000B32A4"/>
    <w:rsid w:val="000B3E7C"/>
    <w:rsid w:val="000B452A"/>
    <w:rsid w:val="000B4D36"/>
    <w:rsid w:val="000B57F4"/>
    <w:rsid w:val="000B6046"/>
    <w:rsid w:val="000B608B"/>
    <w:rsid w:val="000B67C6"/>
    <w:rsid w:val="000C050C"/>
    <w:rsid w:val="000C0722"/>
    <w:rsid w:val="000C1630"/>
    <w:rsid w:val="000C18FA"/>
    <w:rsid w:val="000C1BC2"/>
    <w:rsid w:val="000C2313"/>
    <w:rsid w:val="000C2755"/>
    <w:rsid w:val="000C2BD8"/>
    <w:rsid w:val="000C36E2"/>
    <w:rsid w:val="000C411A"/>
    <w:rsid w:val="000C4977"/>
    <w:rsid w:val="000C5394"/>
    <w:rsid w:val="000C589A"/>
    <w:rsid w:val="000C5A7C"/>
    <w:rsid w:val="000C5ABC"/>
    <w:rsid w:val="000C6090"/>
    <w:rsid w:val="000C6794"/>
    <w:rsid w:val="000C67C1"/>
    <w:rsid w:val="000C6964"/>
    <w:rsid w:val="000D072C"/>
    <w:rsid w:val="000D1604"/>
    <w:rsid w:val="000D191B"/>
    <w:rsid w:val="000D1941"/>
    <w:rsid w:val="000D2403"/>
    <w:rsid w:val="000D3B65"/>
    <w:rsid w:val="000D3FE5"/>
    <w:rsid w:val="000D53E7"/>
    <w:rsid w:val="000D5E3E"/>
    <w:rsid w:val="000D6345"/>
    <w:rsid w:val="000D673B"/>
    <w:rsid w:val="000D69E1"/>
    <w:rsid w:val="000D7719"/>
    <w:rsid w:val="000D77A4"/>
    <w:rsid w:val="000D7C35"/>
    <w:rsid w:val="000E0949"/>
    <w:rsid w:val="000E184D"/>
    <w:rsid w:val="000E2CB3"/>
    <w:rsid w:val="000E2DAF"/>
    <w:rsid w:val="000E30BF"/>
    <w:rsid w:val="000E3221"/>
    <w:rsid w:val="000E3A6E"/>
    <w:rsid w:val="000E3BF2"/>
    <w:rsid w:val="000E41DE"/>
    <w:rsid w:val="000E4EB2"/>
    <w:rsid w:val="000E52FA"/>
    <w:rsid w:val="000E55B1"/>
    <w:rsid w:val="000E5926"/>
    <w:rsid w:val="000E5C02"/>
    <w:rsid w:val="000E5EB4"/>
    <w:rsid w:val="000E62A3"/>
    <w:rsid w:val="000E6353"/>
    <w:rsid w:val="000E686C"/>
    <w:rsid w:val="000E6A55"/>
    <w:rsid w:val="000E72CB"/>
    <w:rsid w:val="000E7534"/>
    <w:rsid w:val="000E7BCD"/>
    <w:rsid w:val="000F0508"/>
    <w:rsid w:val="000F073A"/>
    <w:rsid w:val="000F0C89"/>
    <w:rsid w:val="000F0DF7"/>
    <w:rsid w:val="000F1284"/>
    <w:rsid w:val="000F1299"/>
    <w:rsid w:val="000F18D4"/>
    <w:rsid w:val="000F2F81"/>
    <w:rsid w:val="000F345D"/>
    <w:rsid w:val="000F385B"/>
    <w:rsid w:val="000F3922"/>
    <w:rsid w:val="000F3AF4"/>
    <w:rsid w:val="000F48A1"/>
    <w:rsid w:val="000F4F73"/>
    <w:rsid w:val="000F5169"/>
    <w:rsid w:val="000F716C"/>
    <w:rsid w:val="00100394"/>
    <w:rsid w:val="0010083E"/>
    <w:rsid w:val="001029DC"/>
    <w:rsid w:val="001035AF"/>
    <w:rsid w:val="00103BC7"/>
    <w:rsid w:val="00104561"/>
    <w:rsid w:val="00104781"/>
    <w:rsid w:val="001048BB"/>
    <w:rsid w:val="00105D29"/>
    <w:rsid w:val="0010699C"/>
    <w:rsid w:val="00106F4A"/>
    <w:rsid w:val="001104EF"/>
    <w:rsid w:val="001107B8"/>
    <w:rsid w:val="00110910"/>
    <w:rsid w:val="00111285"/>
    <w:rsid w:val="00111A33"/>
    <w:rsid w:val="00111AA0"/>
    <w:rsid w:val="001126E7"/>
    <w:rsid w:val="001126EC"/>
    <w:rsid w:val="001127B7"/>
    <w:rsid w:val="00112889"/>
    <w:rsid w:val="00112FB9"/>
    <w:rsid w:val="00114480"/>
    <w:rsid w:val="00114A18"/>
    <w:rsid w:val="00114FBB"/>
    <w:rsid w:val="0011505D"/>
    <w:rsid w:val="00116095"/>
    <w:rsid w:val="00116A51"/>
    <w:rsid w:val="001170CF"/>
    <w:rsid w:val="001170DB"/>
    <w:rsid w:val="00117F43"/>
    <w:rsid w:val="001200CC"/>
    <w:rsid w:val="00121564"/>
    <w:rsid w:val="00121B93"/>
    <w:rsid w:val="001226B6"/>
    <w:rsid w:val="001228EE"/>
    <w:rsid w:val="00122F2F"/>
    <w:rsid w:val="00123684"/>
    <w:rsid w:val="001244A7"/>
    <w:rsid w:val="00125A20"/>
    <w:rsid w:val="00125BCB"/>
    <w:rsid w:val="00126119"/>
    <w:rsid w:val="001262DD"/>
    <w:rsid w:val="0012658D"/>
    <w:rsid w:val="0012752D"/>
    <w:rsid w:val="001303D0"/>
    <w:rsid w:val="00130585"/>
    <w:rsid w:val="001312EF"/>
    <w:rsid w:val="00133037"/>
    <w:rsid w:val="00135493"/>
    <w:rsid w:val="00135839"/>
    <w:rsid w:val="001358AE"/>
    <w:rsid w:val="00135BB1"/>
    <w:rsid w:val="00136AC5"/>
    <w:rsid w:val="00136E0D"/>
    <w:rsid w:val="00137E1C"/>
    <w:rsid w:val="00137E68"/>
    <w:rsid w:val="001407A8"/>
    <w:rsid w:val="0014088A"/>
    <w:rsid w:val="00140A56"/>
    <w:rsid w:val="00140AD0"/>
    <w:rsid w:val="00141D0F"/>
    <w:rsid w:val="00141E7E"/>
    <w:rsid w:val="001423E0"/>
    <w:rsid w:val="001423F5"/>
    <w:rsid w:val="0014288A"/>
    <w:rsid w:val="00142A21"/>
    <w:rsid w:val="0014389C"/>
    <w:rsid w:val="001440F1"/>
    <w:rsid w:val="001449EB"/>
    <w:rsid w:val="00144E86"/>
    <w:rsid w:val="00146353"/>
    <w:rsid w:val="001463FD"/>
    <w:rsid w:val="00147C09"/>
    <w:rsid w:val="00147CE6"/>
    <w:rsid w:val="00150C8D"/>
    <w:rsid w:val="00152061"/>
    <w:rsid w:val="00152987"/>
    <w:rsid w:val="00152A20"/>
    <w:rsid w:val="00153FFB"/>
    <w:rsid w:val="001541CA"/>
    <w:rsid w:val="00155C56"/>
    <w:rsid w:val="00156F7F"/>
    <w:rsid w:val="001570E6"/>
    <w:rsid w:val="0016001B"/>
    <w:rsid w:val="00160080"/>
    <w:rsid w:val="0016059F"/>
    <w:rsid w:val="00160F61"/>
    <w:rsid w:val="001618F6"/>
    <w:rsid w:val="00161C1A"/>
    <w:rsid w:val="00163577"/>
    <w:rsid w:val="00163A1D"/>
    <w:rsid w:val="00163C5C"/>
    <w:rsid w:val="00163F31"/>
    <w:rsid w:val="00164F6A"/>
    <w:rsid w:val="00165482"/>
    <w:rsid w:val="0016559E"/>
    <w:rsid w:val="00165D38"/>
    <w:rsid w:val="001664C6"/>
    <w:rsid w:val="00166E70"/>
    <w:rsid w:val="00166F6A"/>
    <w:rsid w:val="00167121"/>
    <w:rsid w:val="00167250"/>
    <w:rsid w:val="00167281"/>
    <w:rsid w:val="00167B1C"/>
    <w:rsid w:val="00167FA2"/>
    <w:rsid w:val="00170258"/>
    <w:rsid w:val="00170837"/>
    <w:rsid w:val="001714DB"/>
    <w:rsid w:val="00171B16"/>
    <w:rsid w:val="00171C89"/>
    <w:rsid w:val="00172C2D"/>
    <w:rsid w:val="0017356F"/>
    <w:rsid w:val="001737FA"/>
    <w:rsid w:val="0017459C"/>
    <w:rsid w:val="001751BA"/>
    <w:rsid w:val="001766FD"/>
    <w:rsid w:val="0017754A"/>
    <w:rsid w:val="001779EA"/>
    <w:rsid w:val="001779EB"/>
    <w:rsid w:val="001807A9"/>
    <w:rsid w:val="00180D46"/>
    <w:rsid w:val="00180DD2"/>
    <w:rsid w:val="00180E88"/>
    <w:rsid w:val="0018118A"/>
    <w:rsid w:val="00181426"/>
    <w:rsid w:val="00181667"/>
    <w:rsid w:val="00182248"/>
    <w:rsid w:val="0018288B"/>
    <w:rsid w:val="00183305"/>
    <w:rsid w:val="0018466F"/>
    <w:rsid w:val="0018491C"/>
    <w:rsid w:val="0018495F"/>
    <w:rsid w:val="00184AAF"/>
    <w:rsid w:val="00185048"/>
    <w:rsid w:val="00185088"/>
    <w:rsid w:val="00185E46"/>
    <w:rsid w:val="00185E4E"/>
    <w:rsid w:val="00185FF1"/>
    <w:rsid w:val="001863F3"/>
    <w:rsid w:val="00187238"/>
    <w:rsid w:val="001872AA"/>
    <w:rsid w:val="0018745C"/>
    <w:rsid w:val="00187918"/>
    <w:rsid w:val="00190740"/>
    <w:rsid w:val="00190842"/>
    <w:rsid w:val="0019120F"/>
    <w:rsid w:val="001912CE"/>
    <w:rsid w:val="00191CBA"/>
    <w:rsid w:val="0019219D"/>
    <w:rsid w:val="00192BAB"/>
    <w:rsid w:val="001939C0"/>
    <w:rsid w:val="00193DE7"/>
    <w:rsid w:val="00193F3E"/>
    <w:rsid w:val="0019443C"/>
    <w:rsid w:val="00194626"/>
    <w:rsid w:val="00194B3B"/>
    <w:rsid w:val="0019643F"/>
    <w:rsid w:val="00196F0C"/>
    <w:rsid w:val="00197F4E"/>
    <w:rsid w:val="001A009B"/>
    <w:rsid w:val="001A0213"/>
    <w:rsid w:val="001A02B1"/>
    <w:rsid w:val="001A0830"/>
    <w:rsid w:val="001A0C72"/>
    <w:rsid w:val="001A1279"/>
    <w:rsid w:val="001A2D5B"/>
    <w:rsid w:val="001A3530"/>
    <w:rsid w:val="001A3827"/>
    <w:rsid w:val="001A3D85"/>
    <w:rsid w:val="001A433F"/>
    <w:rsid w:val="001A47A5"/>
    <w:rsid w:val="001A47CE"/>
    <w:rsid w:val="001A49DD"/>
    <w:rsid w:val="001A4A7D"/>
    <w:rsid w:val="001A4CEB"/>
    <w:rsid w:val="001A5117"/>
    <w:rsid w:val="001A545F"/>
    <w:rsid w:val="001A5CAA"/>
    <w:rsid w:val="001A6161"/>
    <w:rsid w:val="001A6194"/>
    <w:rsid w:val="001A62A4"/>
    <w:rsid w:val="001A7CBB"/>
    <w:rsid w:val="001B16AD"/>
    <w:rsid w:val="001B1C16"/>
    <w:rsid w:val="001B2790"/>
    <w:rsid w:val="001B29EC"/>
    <w:rsid w:val="001B2E92"/>
    <w:rsid w:val="001B52FD"/>
    <w:rsid w:val="001B6996"/>
    <w:rsid w:val="001B7071"/>
    <w:rsid w:val="001B74C2"/>
    <w:rsid w:val="001B756D"/>
    <w:rsid w:val="001B7575"/>
    <w:rsid w:val="001C0D51"/>
    <w:rsid w:val="001C0F2C"/>
    <w:rsid w:val="001C1792"/>
    <w:rsid w:val="001C18FA"/>
    <w:rsid w:val="001C24F1"/>
    <w:rsid w:val="001C2A4E"/>
    <w:rsid w:val="001C2A86"/>
    <w:rsid w:val="001C2C1E"/>
    <w:rsid w:val="001C2D26"/>
    <w:rsid w:val="001C2FF9"/>
    <w:rsid w:val="001C33D1"/>
    <w:rsid w:val="001C41E3"/>
    <w:rsid w:val="001C42FD"/>
    <w:rsid w:val="001C5844"/>
    <w:rsid w:val="001C5AD0"/>
    <w:rsid w:val="001C619A"/>
    <w:rsid w:val="001C6310"/>
    <w:rsid w:val="001C6A84"/>
    <w:rsid w:val="001C6CEA"/>
    <w:rsid w:val="001C75D4"/>
    <w:rsid w:val="001C791B"/>
    <w:rsid w:val="001C7CF2"/>
    <w:rsid w:val="001C7F50"/>
    <w:rsid w:val="001D0141"/>
    <w:rsid w:val="001D0265"/>
    <w:rsid w:val="001D1938"/>
    <w:rsid w:val="001D1A61"/>
    <w:rsid w:val="001D1CB6"/>
    <w:rsid w:val="001D27B0"/>
    <w:rsid w:val="001D2D0E"/>
    <w:rsid w:val="001D2DA6"/>
    <w:rsid w:val="001D30BC"/>
    <w:rsid w:val="001D317E"/>
    <w:rsid w:val="001D34AB"/>
    <w:rsid w:val="001D35E9"/>
    <w:rsid w:val="001D3C0D"/>
    <w:rsid w:val="001D4E54"/>
    <w:rsid w:val="001D5027"/>
    <w:rsid w:val="001D5191"/>
    <w:rsid w:val="001D630D"/>
    <w:rsid w:val="001D6354"/>
    <w:rsid w:val="001D66F8"/>
    <w:rsid w:val="001D6ADD"/>
    <w:rsid w:val="001D755D"/>
    <w:rsid w:val="001E02F4"/>
    <w:rsid w:val="001E1589"/>
    <w:rsid w:val="001E1D54"/>
    <w:rsid w:val="001E211F"/>
    <w:rsid w:val="001E2341"/>
    <w:rsid w:val="001E4799"/>
    <w:rsid w:val="001E56B9"/>
    <w:rsid w:val="001E6881"/>
    <w:rsid w:val="001E6E95"/>
    <w:rsid w:val="001E76E8"/>
    <w:rsid w:val="001E79A6"/>
    <w:rsid w:val="001F07A0"/>
    <w:rsid w:val="001F17D3"/>
    <w:rsid w:val="001F193D"/>
    <w:rsid w:val="001F1A56"/>
    <w:rsid w:val="001F1E0B"/>
    <w:rsid w:val="001F1F04"/>
    <w:rsid w:val="001F214A"/>
    <w:rsid w:val="001F25A5"/>
    <w:rsid w:val="001F2B4F"/>
    <w:rsid w:val="001F2BF6"/>
    <w:rsid w:val="001F3F0E"/>
    <w:rsid w:val="001F4619"/>
    <w:rsid w:val="001F4DA1"/>
    <w:rsid w:val="001F50E7"/>
    <w:rsid w:val="001F605A"/>
    <w:rsid w:val="001F60F3"/>
    <w:rsid w:val="001F6760"/>
    <w:rsid w:val="001F6A1A"/>
    <w:rsid w:val="001F6C47"/>
    <w:rsid w:val="001F791C"/>
    <w:rsid w:val="001F79E0"/>
    <w:rsid w:val="001F7CD7"/>
    <w:rsid w:val="0020119A"/>
    <w:rsid w:val="002016B4"/>
    <w:rsid w:val="0020171F"/>
    <w:rsid w:val="00201C4F"/>
    <w:rsid w:val="002021F1"/>
    <w:rsid w:val="002027A9"/>
    <w:rsid w:val="0020283D"/>
    <w:rsid w:val="00202C45"/>
    <w:rsid w:val="00202CA3"/>
    <w:rsid w:val="00202E9F"/>
    <w:rsid w:val="002030F2"/>
    <w:rsid w:val="0020335D"/>
    <w:rsid w:val="00203BEB"/>
    <w:rsid w:val="002040C0"/>
    <w:rsid w:val="00205A8B"/>
    <w:rsid w:val="00206415"/>
    <w:rsid w:val="002065FE"/>
    <w:rsid w:val="00206E40"/>
    <w:rsid w:val="00207567"/>
    <w:rsid w:val="00211091"/>
    <w:rsid w:val="002111F3"/>
    <w:rsid w:val="0021231E"/>
    <w:rsid w:val="002133F9"/>
    <w:rsid w:val="00213521"/>
    <w:rsid w:val="00214F6B"/>
    <w:rsid w:val="00215D9F"/>
    <w:rsid w:val="00215F59"/>
    <w:rsid w:val="00216796"/>
    <w:rsid w:val="00217D00"/>
    <w:rsid w:val="0022016F"/>
    <w:rsid w:val="00220828"/>
    <w:rsid w:val="00222D1B"/>
    <w:rsid w:val="0022329D"/>
    <w:rsid w:val="00224050"/>
    <w:rsid w:val="002253AD"/>
    <w:rsid w:val="002253D0"/>
    <w:rsid w:val="00225403"/>
    <w:rsid w:val="00225870"/>
    <w:rsid w:val="00225AE1"/>
    <w:rsid w:val="00225CF7"/>
    <w:rsid w:val="00225EB4"/>
    <w:rsid w:val="002270E9"/>
    <w:rsid w:val="00227563"/>
    <w:rsid w:val="0023114C"/>
    <w:rsid w:val="002317B7"/>
    <w:rsid w:val="00231A2C"/>
    <w:rsid w:val="00231F16"/>
    <w:rsid w:val="0023240F"/>
    <w:rsid w:val="002338A8"/>
    <w:rsid w:val="00235EBA"/>
    <w:rsid w:val="00236956"/>
    <w:rsid w:val="00236C78"/>
    <w:rsid w:val="002407D1"/>
    <w:rsid w:val="00240C4F"/>
    <w:rsid w:val="002412BB"/>
    <w:rsid w:val="0024176D"/>
    <w:rsid w:val="00241F76"/>
    <w:rsid w:val="0024280F"/>
    <w:rsid w:val="00242B47"/>
    <w:rsid w:val="00243495"/>
    <w:rsid w:val="00243FB4"/>
    <w:rsid w:val="0024412D"/>
    <w:rsid w:val="002442C2"/>
    <w:rsid w:val="0024450A"/>
    <w:rsid w:val="0024483B"/>
    <w:rsid w:val="00244FBA"/>
    <w:rsid w:val="00245CF5"/>
    <w:rsid w:val="00246B9A"/>
    <w:rsid w:val="00246E50"/>
    <w:rsid w:val="00246F1E"/>
    <w:rsid w:val="00247366"/>
    <w:rsid w:val="00250F5D"/>
    <w:rsid w:val="0025126B"/>
    <w:rsid w:val="0025152F"/>
    <w:rsid w:val="00251569"/>
    <w:rsid w:val="0025244A"/>
    <w:rsid w:val="00252996"/>
    <w:rsid w:val="00252A54"/>
    <w:rsid w:val="002547CF"/>
    <w:rsid w:val="00254F45"/>
    <w:rsid w:val="00255CC4"/>
    <w:rsid w:val="00256076"/>
    <w:rsid w:val="00256611"/>
    <w:rsid w:val="00256A4B"/>
    <w:rsid w:val="00256EF4"/>
    <w:rsid w:val="002575FA"/>
    <w:rsid w:val="00257BE6"/>
    <w:rsid w:val="002602C7"/>
    <w:rsid w:val="00260899"/>
    <w:rsid w:val="0026119D"/>
    <w:rsid w:val="00262EFB"/>
    <w:rsid w:val="002637AF"/>
    <w:rsid w:val="002643E6"/>
    <w:rsid w:val="002647E0"/>
    <w:rsid w:val="00264CD0"/>
    <w:rsid w:val="00265653"/>
    <w:rsid w:val="002657D7"/>
    <w:rsid w:val="00266585"/>
    <w:rsid w:val="00266612"/>
    <w:rsid w:val="00266CEB"/>
    <w:rsid w:val="00267A97"/>
    <w:rsid w:val="00267AD0"/>
    <w:rsid w:val="00270323"/>
    <w:rsid w:val="0027033B"/>
    <w:rsid w:val="00270B22"/>
    <w:rsid w:val="0027105A"/>
    <w:rsid w:val="002715FE"/>
    <w:rsid w:val="00273A17"/>
    <w:rsid w:val="00274275"/>
    <w:rsid w:val="002748B9"/>
    <w:rsid w:val="00275B27"/>
    <w:rsid w:val="00276580"/>
    <w:rsid w:val="00276895"/>
    <w:rsid w:val="00277023"/>
    <w:rsid w:val="00277052"/>
    <w:rsid w:val="00277CF7"/>
    <w:rsid w:val="002801D6"/>
    <w:rsid w:val="002811EC"/>
    <w:rsid w:val="002817A8"/>
    <w:rsid w:val="0028238E"/>
    <w:rsid w:val="002826B5"/>
    <w:rsid w:val="00283377"/>
    <w:rsid w:val="0028347B"/>
    <w:rsid w:val="00283488"/>
    <w:rsid w:val="00283975"/>
    <w:rsid w:val="0028418C"/>
    <w:rsid w:val="0028566B"/>
    <w:rsid w:val="002857AE"/>
    <w:rsid w:val="00285B81"/>
    <w:rsid w:val="00285C44"/>
    <w:rsid w:val="00285FB8"/>
    <w:rsid w:val="00286279"/>
    <w:rsid w:val="00286553"/>
    <w:rsid w:val="002869C9"/>
    <w:rsid w:val="00286E98"/>
    <w:rsid w:val="002874E7"/>
    <w:rsid w:val="002876E3"/>
    <w:rsid w:val="00287704"/>
    <w:rsid w:val="00287ED4"/>
    <w:rsid w:val="0029098D"/>
    <w:rsid w:val="002909B6"/>
    <w:rsid w:val="00290C4C"/>
    <w:rsid w:val="002912B8"/>
    <w:rsid w:val="00291BCD"/>
    <w:rsid w:val="00292F63"/>
    <w:rsid w:val="00292F9C"/>
    <w:rsid w:val="00293C6A"/>
    <w:rsid w:val="0029533B"/>
    <w:rsid w:val="00295608"/>
    <w:rsid w:val="002958FB"/>
    <w:rsid w:val="00295B59"/>
    <w:rsid w:val="0029629E"/>
    <w:rsid w:val="00296D52"/>
    <w:rsid w:val="00297626"/>
    <w:rsid w:val="002977DC"/>
    <w:rsid w:val="002A0056"/>
    <w:rsid w:val="002A041C"/>
    <w:rsid w:val="002A048D"/>
    <w:rsid w:val="002A21E4"/>
    <w:rsid w:val="002A2281"/>
    <w:rsid w:val="002A2423"/>
    <w:rsid w:val="002A310D"/>
    <w:rsid w:val="002A3BF7"/>
    <w:rsid w:val="002A4661"/>
    <w:rsid w:val="002A5F2F"/>
    <w:rsid w:val="002A6D47"/>
    <w:rsid w:val="002A795D"/>
    <w:rsid w:val="002A7B67"/>
    <w:rsid w:val="002B033E"/>
    <w:rsid w:val="002B0A90"/>
    <w:rsid w:val="002B0EEC"/>
    <w:rsid w:val="002B138C"/>
    <w:rsid w:val="002B3AED"/>
    <w:rsid w:val="002B4095"/>
    <w:rsid w:val="002B5217"/>
    <w:rsid w:val="002B5643"/>
    <w:rsid w:val="002B56D1"/>
    <w:rsid w:val="002B591D"/>
    <w:rsid w:val="002B59D6"/>
    <w:rsid w:val="002B624B"/>
    <w:rsid w:val="002B7190"/>
    <w:rsid w:val="002B76FE"/>
    <w:rsid w:val="002B79B9"/>
    <w:rsid w:val="002C061A"/>
    <w:rsid w:val="002C0705"/>
    <w:rsid w:val="002C1D78"/>
    <w:rsid w:val="002C219D"/>
    <w:rsid w:val="002C3156"/>
    <w:rsid w:val="002C32E8"/>
    <w:rsid w:val="002C34BF"/>
    <w:rsid w:val="002C3B43"/>
    <w:rsid w:val="002C41CE"/>
    <w:rsid w:val="002C434F"/>
    <w:rsid w:val="002C65F6"/>
    <w:rsid w:val="002C79A0"/>
    <w:rsid w:val="002C7AA0"/>
    <w:rsid w:val="002C7AD8"/>
    <w:rsid w:val="002D0032"/>
    <w:rsid w:val="002D00F1"/>
    <w:rsid w:val="002D0C78"/>
    <w:rsid w:val="002D184D"/>
    <w:rsid w:val="002D28D4"/>
    <w:rsid w:val="002D2B21"/>
    <w:rsid w:val="002D30F5"/>
    <w:rsid w:val="002D31E8"/>
    <w:rsid w:val="002D3731"/>
    <w:rsid w:val="002D3ED6"/>
    <w:rsid w:val="002D43E1"/>
    <w:rsid w:val="002D4606"/>
    <w:rsid w:val="002D4D38"/>
    <w:rsid w:val="002D53AF"/>
    <w:rsid w:val="002D548B"/>
    <w:rsid w:val="002D5647"/>
    <w:rsid w:val="002D5E6D"/>
    <w:rsid w:val="002D79D8"/>
    <w:rsid w:val="002D7B3A"/>
    <w:rsid w:val="002E100F"/>
    <w:rsid w:val="002E1FEB"/>
    <w:rsid w:val="002E23C6"/>
    <w:rsid w:val="002E26EB"/>
    <w:rsid w:val="002E2B6C"/>
    <w:rsid w:val="002E2E1B"/>
    <w:rsid w:val="002E3104"/>
    <w:rsid w:val="002E3489"/>
    <w:rsid w:val="002E3581"/>
    <w:rsid w:val="002E3AB0"/>
    <w:rsid w:val="002E3FA2"/>
    <w:rsid w:val="002E4013"/>
    <w:rsid w:val="002E48A3"/>
    <w:rsid w:val="002E54B3"/>
    <w:rsid w:val="002E57B2"/>
    <w:rsid w:val="002E58A3"/>
    <w:rsid w:val="002E5AB4"/>
    <w:rsid w:val="002E5BDF"/>
    <w:rsid w:val="002E64F2"/>
    <w:rsid w:val="002E6FAA"/>
    <w:rsid w:val="002E72A3"/>
    <w:rsid w:val="002E7400"/>
    <w:rsid w:val="002E7CC3"/>
    <w:rsid w:val="002F0186"/>
    <w:rsid w:val="002F0473"/>
    <w:rsid w:val="002F0611"/>
    <w:rsid w:val="002F0C33"/>
    <w:rsid w:val="002F0C56"/>
    <w:rsid w:val="002F19D6"/>
    <w:rsid w:val="002F2F30"/>
    <w:rsid w:val="002F3915"/>
    <w:rsid w:val="002F558B"/>
    <w:rsid w:val="002F564B"/>
    <w:rsid w:val="002F5809"/>
    <w:rsid w:val="002F5E54"/>
    <w:rsid w:val="002F6163"/>
    <w:rsid w:val="002F6797"/>
    <w:rsid w:val="002F7EC1"/>
    <w:rsid w:val="0030101E"/>
    <w:rsid w:val="00301727"/>
    <w:rsid w:val="00301A8D"/>
    <w:rsid w:val="00301CFD"/>
    <w:rsid w:val="00302106"/>
    <w:rsid w:val="00302978"/>
    <w:rsid w:val="00302C1E"/>
    <w:rsid w:val="0030496E"/>
    <w:rsid w:val="003052DB"/>
    <w:rsid w:val="00305E3A"/>
    <w:rsid w:val="00306F61"/>
    <w:rsid w:val="00307549"/>
    <w:rsid w:val="003078D9"/>
    <w:rsid w:val="00307ED5"/>
    <w:rsid w:val="003100BA"/>
    <w:rsid w:val="00310206"/>
    <w:rsid w:val="00310209"/>
    <w:rsid w:val="003105AF"/>
    <w:rsid w:val="003116EB"/>
    <w:rsid w:val="00311BCC"/>
    <w:rsid w:val="00311FFB"/>
    <w:rsid w:val="003130CA"/>
    <w:rsid w:val="0031338D"/>
    <w:rsid w:val="00313E29"/>
    <w:rsid w:val="00313F4D"/>
    <w:rsid w:val="003141E0"/>
    <w:rsid w:val="003144B9"/>
    <w:rsid w:val="00315595"/>
    <w:rsid w:val="0031594D"/>
    <w:rsid w:val="0031642F"/>
    <w:rsid w:val="00316C57"/>
    <w:rsid w:val="003175F6"/>
    <w:rsid w:val="00317973"/>
    <w:rsid w:val="00320E55"/>
    <w:rsid w:val="003220E2"/>
    <w:rsid w:val="00322B59"/>
    <w:rsid w:val="00322E35"/>
    <w:rsid w:val="00322F1A"/>
    <w:rsid w:val="00322FC4"/>
    <w:rsid w:val="00323FC3"/>
    <w:rsid w:val="00324347"/>
    <w:rsid w:val="00324625"/>
    <w:rsid w:val="00325132"/>
    <w:rsid w:val="00325CE1"/>
    <w:rsid w:val="00326B7F"/>
    <w:rsid w:val="00326DFD"/>
    <w:rsid w:val="00326E08"/>
    <w:rsid w:val="003270D5"/>
    <w:rsid w:val="00327513"/>
    <w:rsid w:val="0032768D"/>
    <w:rsid w:val="00327C90"/>
    <w:rsid w:val="00327D74"/>
    <w:rsid w:val="00327E42"/>
    <w:rsid w:val="0033074C"/>
    <w:rsid w:val="00330AAF"/>
    <w:rsid w:val="00330C62"/>
    <w:rsid w:val="00330EE2"/>
    <w:rsid w:val="00330FE3"/>
    <w:rsid w:val="003311DC"/>
    <w:rsid w:val="0033180E"/>
    <w:rsid w:val="00331AB7"/>
    <w:rsid w:val="00331EA0"/>
    <w:rsid w:val="00332334"/>
    <w:rsid w:val="00332780"/>
    <w:rsid w:val="00332A03"/>
    <w:rsid w:val="00332E88"/>
    <w:rsid w:val="0033305F"/>
    <w:rsid w:val="00333A4E"/>
    <w:rsid w:val="00333AB9"/>
    <w:rsid w:val="00335B7F"/>
    <w:rsid w:val="003361F6"/>
    <w:rsid w:val="003364AF"/>
    <w:rsid w:val="00336550"/>
    <w:rsid w:val="00340A09"/>
    <w:rsid w:val="00342048"/>
    <w:rsid w:val="0034244B"/>
    <w:rsid w:val="00342513"/>
    <w:rsid w:val="00342673"/>
    <w:rsid w:val="00343651"/>
    <w:rsid w:val="00343E8D"/>
    <w:rsid w:val="003441AE"/>
    <w:rsid w:val="00344465"/>
    <w:rsid w:val="0034462E"/>
    <w:rsid w:val="003451CE"/>
    <w:rsid w:val="00345F53"/>
    <w:rsid w:val="0034617A"/>
    <w:rsid w:val="00346F29"/>
    <w:rsid w:val="00347ED7"/>
    <w:rsid w:val="00350378"/>
    <w:rsid w:val="00350489"/>
    <w:rsid w:val="00350732"/>
    <w:rsid w:val="00351141"/>
    <w:rsid w:val="003516DF"/>
    <w:rsid w:val="003532ED"/>
    <w:rsid w:val="00353675"/>
    <w:rsid w:val="0035428E"/>
    <w:rsid w:val="00354657"/>
    <w:rsid w:val="00354E67"/>
    <w:rsid w:val="00355567"/>
    <w:rsid w:val="00357582"/>
    <w:rsid w:val="00360666"/>
    <w:rsid w:val="00360A23"/>
    <w:rsid w:val="00360A4F"/>
    <w:rsid w:val="00361541"/>
    <w:rsid w:val="003617EF"/>
    <w:rsid w:val="00361889"/>
    <w:rsid w:val="00361C57"/>
    <w:rsid w:val="00361C7E"/>
    <w:rsid w:val="00361F29"/>
    <w:rsid w:val="0036228D"/>
    <w:rsid w:val="00362C46"/>
    <w:rsid w:val="00363187"/>
    <w:rsid w:val="00363342"/>
    <w:rsid w:val="00363D98"/>
    <w:rsid w:val="00364D53"/>
    <w:rsid w:val="00364FF0"/>
    <w:rsid w:val="003650A2"/>
    <w:rsid w:val="00365142"/>
    <w:rsid w:val="0036540A"/>
    <w:rsid w:val="0036551D"/>
    <w:rsid w:val="00366BBE"/>
    <w:rsid w:val="00366EFA"/>
    <w:rsid w:val="00366F4A"/>
    <w:rsid w:val="003670DB"/>
    <w:rsid w:val="00370176"/>
    <w:rsid w:val="003702F9"/>
    <w:rsid w:val="00370CCA"/>
    <w:rsid w:val="00370D12"/>
    <w:rsid w:val="00370F18"/>
    <w:rsid w:val="003710E3"/>
    <w:rsid w:val="00372189"/>
    <w:rsid w:val="003723E9"/>
    <w:rsid w:val="003724C9"/>
    <w:rsid w:val="003728C1"/>
    <w:rsid w:val="00373EE6"/>
    <w:rsid w:val="00374D4D"/>
    <w:rsid w:val="0037546C"/>
    <w:rsid w:val="003758F0"/>
    <w:rsid w:val="00375C89"/>
    <w:rsid w:val="003761FA"/>
    <w:rsid w:val="00376418"/>
    <w:rsid w:val="00376539"/>
    <w:rsid w:val="003773D2"/>
    <w:rsid w:val="00380BC0"/>
    <w:rsid w:val="00380BDF"/>
    <w:rsid w:val="0038156B"/>
    <w:rsid w:val="0038194C"/>
    <w:rsid w:val="00382020"/>
    <w:rsid w:val="00382776"/>
    <w:rsid w:val="00382AF8"/>
    <w:rsid w:val="003833DD"/>
    <w:rsid w:val="00383D73"/>
    <w:rsid w:val="00384AC8"/>
    <w:rsid w:val="00385524"/>
    <w:rsid w:val="00385A20"/>
    <w:rsid w:val="00385CA6"/>
    <w:rsid w:val="003865AB"/>
    <w:rsid w:val="0038700D"/>
    <w:rsid w:val="003874A1"/>
    <w:rsid w:val="00387676"/>
    <w:rsid w:val="00387752"/>
    <w:rsid w:val="0038779B"/>
    <w:rsid w:val="003877F5"/>
    <w:rsid w:val="00390407"/>
    <w:rsid w:val="00390D4C"/>
    <w:rsid w:val="0039110C"/>
    <w:rsid w:val="00391713"/>
    <w:rsid w:val="003917FE"/>
    <w:rsid w:val="00393351"/>
    <w:rsid w:val="003938C0"/>
    <w:rsid w:val="0039501A"/>
    <w:rsid w:val="003959E3"/>
    <w:rsid w:val="00395AE5"/>
    <w:rsid w:val="00395BFB"/>
    <w:rsid w:val="00395F38"/>
    <w:rsid w:val="00396527"/>
    <w:rsid w:val="003965C5"/>
    <w:rsid w:val="0039675B"/>
    <w:rsid w:val="00396E45"/>
    <w:rsid w:val="003970B1"/>
    <w:rsid w:val="0039751F"/>
    <w:rsid w:val="00397DCC"/>
    <w:rsid w:val="00397FD5"/>
    <w:rsid w:val="003A095A"/>
    <w:rsid w:val="003A15E5"/>
    <w:rsid w:val="003A1735"/>
    <w:rsid w:val="003A237A"/>
    <w:rsid w:val="003A2D30"/>
    <w:rsid w:val="003A303A"/>
    <w:rsid w:val="003A3474"/>
    <w:rsid w:val="003A434A"/>
    <w:rsid w:val="003A4738"/>
    <w:rsid w:val="003A5D92"/>
    <w:rsid w:val="003A6308"/>
    <w:rsid w:val="003A679A"/>
    <w:rsid w:val="003A6AC4"/>
    <w:rsid w:val="003A743A"/>
    <w:rsid w:val="003A74C4"/>
    <w:rsid w:val="003A7586"/>
    <w:rsid w:val="003B1442"/>
    <w:rsid w:val="003B1AEE"/>
    <w:rsid w:val="003B1D55"/>
    <w:rsid w:val="003B2679"/>
    <w:rsid w:val="003B2F27"/>
    <w:rsid w:val="003B3D83"/>
    <w:rsid w:val="003B3DB4"/>
    <w:rsid w:val="003B3E18"/>
    <w:rsid w:val="003B4328"/>
    <w:rsid w:val="003B4E8C"/>
    <w:rsid w:val="003B506E"/>
    <w:rsid w:val="003B5548"/>
    <w:rsid w:val="003B5807"/>
    <w:rsid w:val="003B5A3F"/>
    <w:rsid w:val="003B65A7"/>
    <w:rsid w:val="003C0192"/>
    <w:rsid w:val="003C1133"/>
    <w:rsid w:val="003C1555"/>
    <w:rsid w:val="003C1AF8"/>
    <w:rsid w:val="003C2733"/>
    <w:rsid w:val="003C3851"/>
    <w:rsid w:val="003C3FCA"/>
    <w:rsid w:val="003C4242"/>
    <w:rsid w:val="003C4E8F"/>
    <w:rsid w:val="003C545A"/>
    <w:rsid w:val="003C5A9C"/>
    <w:rsid w:val="003C5E05"/>
    <w:rsid w:val="003C5EE3"/>
    <w:rsid w:val="003D0006"/>
    <w:rsid w:val="003D038A"/>
    <w:rsid w:val="003D0A06"/>
    <w:rsid w:val="003D0DD7"/>
    <w:rsid w:val="003D2BA2"/>
    <w:rsid w:val="003D321E"/>
    <w:rsid w:val="003D36CD"/>
    <w:rsid w:val="003D3856"/>
    <w:rsid w:val="003D39C8"/>
    <w:rsid w:val="003D461E"/>
    <w:rsid w:val="003D5223"/>
    <w:rsid w:val="003D56C4"/>
    <w:rsid w:val="003D6547"/>
    <w:rsid w:val="003D69C9"/>
    <w:rsid w:val="003D6A8C"/>
    <w:rsid w:val="003D752C"/>
    <w:rsid w:val="003D7DE1"/>
    <w:rsid w:val="003E0076"/>
    <w:rsid w:val="003E0194"/>
    <w:rsid w:val="003E026B"/>
    <w:rsid w:val="003E0BF1"/>
    <w:rsid w:val="003E117C"/>
    <w:rsid w:val="003E1EFC"/>
    <w:rsid w:val="003E1F1B"/>
    <w:rsid w:val="003E24B3"/>
    <w:rsid w:val="003E2F9A"/>
    <w:rsid w:val="003E3891"/>
    <w:rsid w:val="003E41F0"/>
    <w:rsid w:val="003E54B1"/>
    <w:rsid w:val="003E57AE"/>
    <w:rsid w:val="003E59CA"/>
    <w:rsid w:val="003E6B6D"/>
    <w:rsid w:val="003E6BC4"/>
    <w:rsid w:val="003E6C20"/>
    <w:rsid w:val="003E76B2"/>
    <w:rsid w:val="003F0EFC"/>
    <w:rsid w:val="003F114C"/>
    <w:rsid w:val="003F11BB"/>
    <w:rsid w:val="003F23F0"/>
    <w:rsid w:val="003F24A7"/>
    <w:rsid w:val="003F270E"/>
    <w:rsid w:val="003F356B"/>
    <w:rsid w:val="003F3A4A"/>
    <w:rsid w:val="003F3EE3"/>
    <w:rsid w:val="003F42DF"/>
    <w:rsid w:val="003F44A3"/>
    <w:rsid w:val="003F4E4F"/>
    <w:rsid w:val="003F5452"/>
    <w:rsid w:val="003F59E8"/>
    <w:rsid w:val="003F5BD4"/>
    <w:rsid w:val="003F5E8F"/>
    <w:rsid w:val="003F7337"/>
    <w:rsid w:val="003F786A"/>
    <w:rsid w:val="003F7892"/>
    <w:rsid w:val="00400358"/>
    <w:rsid w:val="004008DD"/>
    <w:rsid w:val="00401846"/>
    <w:rsid w:val="00401B84"/>
    <w:rsid w:val="00402F9E"/>
    <w:rsid w:val="0040401F"/>
    <w:rsid w:val="00404291"/>
    <w:rsid w:val="00404A34"/>
    <w:rsid w:val="004053B4"/>
    <w:rsid w:val="00405559"/>
    <w:rsid w:val="00405590"/>
    <w:rsid w:val="004061B6"/>
    <w:rsid w:val="00406C5F"/>
    <w:rsid w:val="00406F1C"/>
    <w:rsid w:val="004105DF"/>
    <w:rsid w:val="004110F2"/>
    <w:rsid w:val="0041130C"/>
    <w:rsid w:val="00411887"/>
    <w:rsid w:val="00411D64"/>
    <w:rsid w:val="00411E58"/>
    <w:rsid w:val="00412A7C"/>
    <w:rsid w:val="00413177"/>
    <w:rsid w:val="00413216"/>
    <w:rsid w:val="0041348D"/>
    <w:rsid w:val="004139BB"/>
    <w:rsid w:val="00413F83"/>
    <w:rsid w:val="004141B6"/>
    <w:rsid w:val="00414A41"/>
    <w:rsid w:val="00414E90"/>
    <w:rsid w:val="00414FB3"/>
    <w:rsid w:val="00415A61"/>
    <w:rsid w:val="00415B42"/>
    <w:rsid w:val="00415D0A"/>
    <w:rsid w:val="00415D8D"/>
    <w:rsid w:val="00416404"/>
    <w:rsid w:val="00417DAB"/>
    <w:rsid w:val="0042033A"/>
    <w:rsid w:val="00420645"/>
    <w:rsid w:val="004215A7"/>
    <w:rsid w:val="004215E8"/>
    <w:rsid w:val="00421F58"/>
    <w:rsid w:val="00421FF7"/>
    <w:rsid w:val="00422492"/>
    <w:rsid w:val="004230F3"/>
    <w:rsid w:val="00423AB2"/>
    <w:rsid w:val="00423BB3"/>
    <w:rsid w:val="00423E06"/>
    <w:rsid w:val="00424314"/>
    <w:rsid w:val="004246D6"/>
    <w:rsid w:val="00424D8D"/>
    <w:rsid w:val="004252A0"/>
    <w:rsid w:val="00425C2F"/>
    <w:rsid w:val="00426DED"/>
    <w:rsid w:val="00427086"/>
    <w:rsid w:val="00427D3A"/>
    <w:rsid w:val="00430986"/>
    <w:rsid w:val="00431F48"/>
    <w:rsid w:val="00432189"/>
    <w:rsid w:val="00432B49"/>
    <w:rsid w:val="00432C21"/>
    <w:rsid w:val="004333DF"/>
    <w:rsid w:val="0043362A"/>
    <w:rsid w:val="00433EC8"/>
    <w:rsid w:val="00434226"/>
    <w:rsid w:val="0043443A"/>
    <w:rsid w:val="00434D3F"/>
    <w:rsid w:val="00435651"/>
    <w:rsid w:val="0043596E"/>
    <w:rsid w:val="00435ECC"/>
    <w:rsid w:val="004365DC"/>
    <w:rsid w:val="0043661E"/>
    <w:rsid w:val="004367BB"/>
    <w:rsid w:val="00436FDE"/>
    <w:rsid w:val="004373FF"/>
    <w:rsid w:val="00437AEF"/>
    <w:rsid w:val="00437E14"/>
    <w:rsid w:val="00437FEF"/>
    <w:rsid w:val="00440177"/>
    <w:rsid w:val="0044081B"/>
    <w:rsid w:val="0044271E"/>
    <w:rsid w:val="00442B4A"/>
    <w:rsid w:val="004439AD"/>
    <w:rsid w:val="00443DE2"/>
    <w:rsid w:val="00445009"/>
    <w:rsid w:val="004452EB"/>
    <w:rsid w:val="0044544E"/>
    <w:rsid w:val="004456EF"/>
    <w:rsid w:val="004504CA"/>
    <w:rsid w:val="00451230"/>
    <w:rsid w:val="00451D51"/>
    <w:rsid w:val="004521F3"/>
    <w:rsid w:val="00452481"/>
    <w:rsid w:val="00453C0D"/>
    <w:rsid w:val="004541DB"/>
    <w:rsid w:val="00454597"/>
    <w:rsid w:val="004549E6"/>
    <w:rsid w:val="004551EA"/>
    <w:rsid w:val="004562AE"/>
    <w:rsid w:val="004566EB"/>
    <w:rsid w:val="00456845"/>
    <w:rsid w:val="0045687C"/>
    <w:rsid w:val="00456EDC"/>
    <w:rsid w:val="00457802"/>
    <w:rsid w:val="00457A9E"/>
    <w:rsid w:val="00460C0E"/>
    <w:rsid w:val="00462121"/>
    <w:rsid w:val="0046245F"/>
    <w:rsid w:val="004625C4"/>
    <w:rsid w:val="00463031"/>
    <w:rsid w:val="004635D0"/>
    <w:rsid w:val="00464273"/>
    <w:rsid w:val="0046488E"/>
    <w:rsid w:val="00464D57"/>
    <w:rsid w:val="00465848"/>
    <w:rsid w:val="004658FB"/>
    <w:rsid w:val="004672D4"/>
    <w:rsid w:val="00467577"/>
    <w:rsid w:val="00467906"/>
    <w:rsid w:val="004679E5"/>
    <w:rsid w:val="00467EC8"/>
    <w:rsid w:val="00471189"/>
    <w:rsid w:val="0047216E"/>
    <w:rsid w:val="00472F2A"/>
    <w:rsid w:val="004731D5"/>
    <w:rsid w:val="004733BC"/>
    <w:rsid w:val="00473722"/>
    <w:rsid w:val="00473A54"/>
    <w:rsid w:val="00473FC9"/>
    <w:rsid w:val="004753EB"/>
    <w:rsid w:val="00476085"/>
    <w:rsid w:val="00476C13"/>
    <w:rsid w:val="00476CF5"/>
    <w:rsid w:val="00476DAF"/>
    <w:rsid w:val="004771DF"/>
    <w:rsid w:val="004779CE"/>
    <w:rsid w:val="00477AEA"/>
    <w:rsid w:val="00480503"/>
    <w:rsid w:val="00481378"/>
    <w:rsid w:val="00481433"/>
    <w:rsid w:val="00481D6A"/>
    <w:rsid w:val="00481FB1"/>
    <w:rsid w:val="00482B87"/>
    <w:rsid w:val="00483329"/>
    <w:rsid w:val="00483710"/>
    <w:rsid w:val="0048386D"/>
    <w:rsid w:val="00483ECF"/>
    <w:rsid w:val="00485233"/>
    <w:rsid w:val="00485E3E"/>
    <w:rsid w:val="00486702"/>
    <w:rsid w:val="00486F9D"/>
    <w:rsid w:val="00487530"/>
    <w:rsid w:val="00487FBC"/>
    <w:rsid w:val="00490748"/>
    <w:rsid w:val="00490D28"/>
    <w:rsid w:val="00491096"/>
    <w:rsid w:val="004914D3"/>
    <w:rsid w:val="0049186B"/>
    <w:rsid w:val="00491B6D"/>
    <w:rsid w:val="004928B3"/>
    <w:rsid w:val="00492A42"/>
    <w:rsid w:val="00492F75"/>
    <w:rsid w:val="004932F8"/>
    <w:rsid w:val="00493517"/>
    <w:rsid w:val="00495CB8"/>
    <w:rsid w:val="004962EC"/>
    <w:rsid w:val="0049660F"/>
    <w:rsid w:val="00496675"/>
    <w:rsid w:val="00496A76"/>
    <w:rsid w:val="004A0042"/>
    <w:rsid w:val="004A03D1"/>
    <w:rsid w:val="004A05B9"/>
    <w:rsid w:val="004A1E9A"/>
    <w:rsid w:val="004A2263"/>
    <w:rsid w:val="004A27A1"/>
    <w:rsid w:val="004A3539"/>
    <w:rsid w:val="004A3680"/>
    <w:rsid w:val="004A3C47"/>
    <w:rsid w:val="004A43C3"/>
    <w:rsid w:val="004A4667"/>
    <w:rsid w:val="004A46B7"/>
    <w:rsid w:val="004A56D8"/>
    <w:rsid w:val="004A6DDC"/>
    <w:rsid w:val="004A7C1C"/>
    <w:rsid w:val="004B03E6"/>
    <w:rsid w:val="004B04F3"/>
    <w:rsid w:val="004B0670"/>
    <w:rsid w:val="004B07D7"/>
    <w:rsid w:val="004B08CE"/>
    <w:rsid w:val="004B1C0D"/>
    <w:rsid w:val="004B1C34"/>
    <w:rsid w:val="004B1D09"/>
    <w:rsid w:val="004B21C5"/>
    <w:rsid w:val="004B2A41"/>
    <w:rsid w:val="004B2D34"/>
    <w:rsid w:val="004B3467"/>
    <w:rsid w:val="004B3C64"/>
    <w:rsid w:val="004B4B0A"/>
    <w:rsid w:val="004B542E"/>
    <w:rsid w:val="004B5775"/>
    <w:rsid w:val="004B5B1A"/>
    <w:rsid w:val="004B6428"/>
    <w:rsid w:val="004B6610"/>
    <w:rsid w:val="004B7DDE"/>
    <w:rsid w:val="004C0108"/>
    <w:rsid w:val="004C01FB"/>
    <w:rsid w:val="004C081D"/>
    <w:rsid w:val="004C127D"/>
    <w:rsid w:val="004C140C"/>
    <w:rsid w:val="004C1D30"/>
    <w:rsid w:val="004C2126"/>
    <w:rsid w:val="004C27A6"/>
    <w:rsid w:val="004C3221"/>
    <w:rsid w:val="004C3B9B"/>
    <w:rsid w:val="004C42A2"/>
    <w:rsid w:val="004C46AC"/>
    <w:rsid w:val="004C50F2"/>
    <w:rsid w:val="004C5326"/>
    <w:rsid w:val="004C55F8"/>
    <w:rsid w:val="004C577E"/>
    <w:rsid w:val="004C59F9"/>
    <w:rsid w:val="004C6378"/>
    <w:rsid w:val="004C653C"/>
    <w:rsid w:val="004C65FA"/>
    <w:rsid w:val="004C68DF"/>
    <w:rsid w:val="004C78E1"/>
    <w:rsid w:val="004C7B0C"/>
    <w:rsid w:val="004D0386"/>
    <w:rsid w:val="004D0F66"/>
    <w:rsid w:val="004D1195"/>
    <w:rsid w:val="004D1CCE"/>
    <w:rsid w:val="004D2212"/>
    <w:rsid w:val="004D22B5"/>
    <w:rsid w:val="004D3264"/>
    <w:rsid w:val="004D3A1C"/>
    <w:rsid w:val="004D3D7C"/>
    <w:rsid w:val="004D3DCC"/>
    <w:rsid w:val="004D5414"/>
    <w:rsid w:val="004D54B9"/>
    <w:rsid w:val="004D55CD"/>
    <w:rsid w:val="004D566B"/>
    <w:rsid w:val="004D5BFE"/>
    <w:rsid w:val="004D6206"/>
    <w:rsid w:val="004D6827"/>
    <w:rsid w:val="004D6D99"/>
    <w:rsid w:val="004D7867"/>
    <w:rsid w:val="004D7C86"/>
    <w:rsid w:val="004D7E35"/>
    <w:rsid w:val="004E0176"/>
    <w:rsid w:val="004E0A44"/>
    <w:rsid w:val="004E13E8"/>
    <w:rsid w:val="004E1D48"/>
    <w:rsid w:val="004E2838"/>
    <w:rsid w:val="004E2FEA"/>
    <w:rsid w:val="004E38B8"/>
    <w:rsid w:val="004E3E89"/>
    <w:rsid w:val="004E4CB0"/>
    <w:rsid w:val="004E5638"/>
    <w:rsid w:val="004E57AD"/>
    <w:rsid w:val="004E5CB1"/>
    <w:rsid w:val="004E6370"/>
    <w:rsid w:val="004E78F0"/>
    <w:rsid w:val="004F179D"/>
    <w:rsid w:val="004F20BB"/>
    <w:rsid w:val="004F3C67"/>
    <w:rsid w:val="004F3D2B"/>
    <w:rsid w:val="004F3E5B"/>
    <w:rsid w:val="004F4276"/>
    <w:rsid w:val="004F4A9B"/>
    <w:rsid w:val="004F51E5"/>
    <w:rsid w:val="004F5CB1"/>
    <w:rsid w:val="004F6565"/>
    <w:rsid w:val="004F687D"/>
    <w:rsid w:val="004F6C08"/>
    <w:rsid w:val="004F7993"/>
    <w:rsid w:val="004F7CC0"/>
    <w:rsid w:val="00500BF3"/>
    <w:rsid w:val="00500F30"/>
    <w:rsid w:val="00501052"/>
    <w:rsid w:val="00502202"/>
    <w:rsid w:val="00502623"/>
    <w:rsid w:val="00503E6B"/>
    <w:rsid w:val="00504441"/>
    <w:rsid w:val="00505063"/>
    <w:rsid w:val="00505232"/>
    <w:rsid w:val="00505A8E"/>
    <w:rsid w:val="0050611A"/>
    <w:rsid w:val="00506552"/>
    <w:rsid w:val="005065AA"/>
    <w:rsid w:val="0050758F"/>
    <w:rsid w:val="00507A3F"/>
    <w:rsid w:val="0051036A"/>
    <w:rsid w:val="00511977"/>
    <w:rsid w:val="00511B51"/>
    <w:rsid w:val="005128FD"/>
    <w:rsid w:val="00512BCB"/>
    <w:rsid w:val="00512FFD"/>
    <w:rsid w:val="00513102"/>
    <w:rsid w:val="0051333B"/>
    <w:rsid w:val="00513686"/>
    <w:rsid w:val="005136F1"/>
    <w:rsid w:val="00513989"/>
    <w:rsid w:val="0051448B"/>
    <w:rsid w:val="005147DA"/>
    <w:rsid w:val="0051486D"/>
    <w:rsid w:val="0051537D"/>
    <w:rsid w:val="00516095"/>
    <w:rsid w:val="00516660"/>
    <w:rsid w:val="0051733B"/>
    <w:rsid w:val="00517888"/>
    <w:rsid w:val="00517B64"/>
    <w:rsid w:val="00520773"/>
    <w:rsid w:val="00520AA9"/>
    <w:rsid w:val="00521736"/>
    <w:rsid w:val="0052226B"/>
    <w:rsid w:val="00522EF0"/>
    <w:rsid w:val="005236A1"/>
    <w:rsid w:val="00523CDB"/>
    <w:rsid w:val="005240B9"/>
    <w:rsid w:val="005245EE"/>
    <w:rsid w:val="0052495D"/>
    <w:rsid w:val="00525195"/>
    <w:rsid w:val="005253C9"/>
    <w:rsid w:val="00525461"/>
    <w:rsid w:val="005255B3"/>
    <w:rsid w:val="00525E9A"/>
    <w:rsid w:val="00526AC2"/>
    <w:rsid w:val="00526F54"/>
    <w:rsid w:val="00526FEC"/>
    <w:rsid w:val="0052720A"/>
    <w:rsid w:val="00527709"/>
    <w:rsid w:val="00527FF8"/>
    <w:rsid w:val="00531903"/>
    <w:rsid w:val="00531C24"/>
    <w:rsid w:val="005324F2"/>
    <w:rsid w:val="00532539"/>
    <w:rsid w:val="00533684"/>
    <w:rsid w:val="005337E6"/>
    <w:rsid w:val="00533B8F"/>
    <w:rsid w:val="00534836"/>
    <w:rsid w:val="005356A4"/>
    <w:rsid w:val="005356BB"/>
    <w:rsid w:val="005358D0"/>
    <w:rsid w:val="005365EA"/>
    <w:rsid w:val="00537296"/>
    <w:rsid w:val="0054006E"/>
    <w:rsid w:val="00540C72"/>
    <w:rsid w:val="005426B0"/>
    <w:rsid w:val="005427B6"/>
    <w:rsid w:val="00542D2A"/>
    <w:rsid w:val="00542D32"/>
    <w:rsid w:val="005431FB"/>
    <w:rsid w:val="00543888"/>
    <w:rsid w:val="00543BAE"/>
    <w:rsid w:val="00543DBD"/>
    <w:rsid w:val="00544050"/>
    <w:rsid w:val="0054423A"/>
    <w:rsid w:val="00544962"/>
    <w:rsid w:val="00545067"/>
    <w:rsid w:val="00545105"/>
    <w:rsid w:val="005452A9"/>
    <w:rsid w:val="00545313"/>
    <w:rsid w:val="0054539D"/>
    <w:rsid w:val="00545D4F"/>
    <w:rsid w:val="00545F6E"/>
    <w:rsid w:val="005461AA"/>
    <w:rsid w:val="00546973"/>
    <w:rsid w:val="00546A98"/>
    <w:rsid w:val="00546D44"/>
    <w:rsid w:val="0054714F"/>
    <w:rsid w:val="0054799F"/>
    <w:rsid w:val="005479DA"/>
    <w:rsid w:val="00547F0E"/>
    <w:rsid w:val="00547F47"/>
    <w:rsid w:val="005500EA"/>
    <w:rsid w:val="005505F2"/>
    <w:rsid w:val="005507A7"/>
    <w:rsid w:val="005519F6"/>
    <w:rsid w:val="00551ADA"/>
    <w:rsid w:val="00551D06"/>
    <w:rsid w:val="00551ECA"/>
    <w:rsid w:val="005533ED"/>
    <w:rsid w:val="00553A58"/>
    <w:rsid w:val="00553CAC"/>
    <w:rsid w:val="00553DE6"/>
    <w:rsid w:val="005545DA"/>
    <w:rsid w:val="005550AF"/>
    <w:rsid w:val="0055553C"/>
    <w:rsid w:val="00556681"/>
    <w:rsid w:val="00556C3F"/>
    <w:rsid w:val="005574D0"/>
    <w:rsid w:val="00557900"/>
    <w:rsid w:val="00557946"/>
    <w:rsid w:val="005609DB"/>
    <w:rsid w:val="00560BEE"/>
    <w:rsid w:val="00561E8B"/>
    <w:rsid w:val="00562574"/>
    <w:rsid w:val="00563AF5"/>
    <w:rsid w:val="00564109"/>
    <w:rsid w:val="005648F0"/>
    <w:rsid w:val="00564FA8"/>
    <w:rsid w:val="00565800"/>
    <w:rsid w:val="00565817"/>
    <w:rsid w:val="00566111"/>
    <w:rsid w:val="005666F0"/>
    <w:rsid w:val="00566A03"/>
    <w:rsid w:val="0056717E"/>
    <w:rsid w:val="005674DB"/>
    <w:rsid w:val="0056783B"/>
    <w:rsid w:val="00567861"/>
    <w:rsid w:val="00567BC4"/>
    <w:rsid w:val="005704F7"/>
    <w:rsid w:val="0057070B"/>
    <w:rsid w:val="00571B57"/>
    <w:rsid w:val="0057311B"/>
    <w:rsid w:val="00573416"/>
    <w:rsid w:val="005741D8"/>
    <w:rsid w:val="0057448A"/>
    <w:rsid w:val="005744B4"/>
    <w:rsid w:val="005745B0"/>
    <w:rsid w:val="00574BA3"/>
    <w:rsid w:val="00574CEB"/>
    <w:rsid w:val="0057595B"/>
    <w:rsid w:val="005761F0"/>
    <w:rsid w:val="0057626D"/>
    <w:rsid w:val="0057637F"/>
    <w:rsid w:val="00577912"/>
    <w:rsid w:val="00577FB9"/>
    <w:rsid w:val="0058001C"/>
    <w:rsid w:val="00580BB7"/>
    <w:rsid w:val="00581232"/>
    <w:rsid w:val="00581857"/>
    <w:rsid w:val="00581B16"/>
    <w:rsid w:val="00581ED2"/>
    <w:rsid w:val="005824DA"/>
    <w:rsid w:val="0058276E"/>
    <w:rsid w:val="00583BC8"/>
    <w:rsid w:val="00584082"/>
    <w:rsid w:val="00584477"/>
    <w:rsid w:val="0058468E"/>
    <w:rsid w:val="00584705"/>
    <w:rsid w:val="00584AA4"/>
    <w:rsid w:val="005862F1"/>
    <w:rsid w:val="0058641A"/>
    <w:rsid w:val="005871DF"/>
    <w:rsid w:val="00587263"/>
    <w:rsid w:val="005877F1"/>
    <w:rsid w:val="00587E22"/>
    <w:rsid w:val="00591F2C"/>
    <w:rsid w:val="00592FDD"/>
    <w:rsid w:val="00593104"/>
    <w:rsid w:val="005935D7"/>
    <w:rsid w:val="00593C41"/>
    <w:rsid w:val="00594AA7"/>
    <w:rsid w:val="00594C32"/>
    <w:rsid w:val="00595BBA"/>
    <w:rsid w:val="00595C69"/>
    <w:rsid w:val="0059745E"/>
    <w:rsid w:val="00597572"/>
    <w:rsid w:val="005976D5"/>
    <w:rsid w:val="005A0358"/>
    <w:rsid w:val="005A04DE"/>
    <w:rsid w:val="005A1088"/>
    <w:rsid w:val="005A1CAD"/>
    <w:rsid w:val="005A28CE"/>
    <w:rsid w:val="005A3369"/>
    <w:rsid w:val="005A3627"/>
    <w:rsid w:val="005A38BB"/>
    <w:rsid w:val="005A40F5"/>
    <w:rsid w:val="005A427C"/>
    <w:rsid w:val="005A4A86"/>
    <w:rsid w:val="005A55E4"/>
    <w:rsid w:val="005A5D43"/>
    <w:rsid w:val="005A6FFF"/>
    <w:rsid w:val="005A7146"/>
    <w:rsid w:val="005A787F"/>
    <w:rsid w:val="005B0502"/>
    <w:rsid w:val="005B0ADC"/>
    <w:rsid w:val="005B0C20"/>
    <w:rsid w:val="005B137A"/>
    <w:rsid w:val="005B1987"/>
    <w:rsid w:val="005B217D"/>
    <w:rsid w:val="005B2A4E"/>
    <w:rsid w:val="005B2C4E"/>
    <w:rsid w:val="005B30C5"/>
    <w:rsid w:val="005B3B59"/>
    <w:rsid w:val="005B3B81"/>
    <w:rsid w:val="005B3CEF"/>
    <w:rsid w:val="005B43F2"/>
    <w:rsid w:val="005B4ADD"/>
    <w:rsid w:val="005B5586"/>
    <w:rsid w:val="005B62F3"/>
    <w:rsid w:val="005B64A5"/>
    <w:rsid w:val="005B6868"/>
    <w:rsid w:val="005B6DB8"/>
    <w:rsid w:val="005C01BE"/>
    <w:rsid w:val="005C0221"/>
    <w:rsid w:val="005C02F8"/>
    <w:rsid w:val="005C0E68"/>
    <w:rsid w:val="005C1714"/>
    <w:rsid w:val="005C282F"/>
    <w:rsid w:val="005C2B0C"/>
    <w:rsid w:val="005C3409"/>
    <w:rsid w:val="005C3897"/>
    <w:rsid w:val="005C3AAD"/>
    <w:rsid w:val="005C3FC7"/>
    <w:rsid w:val="005C4557"/>
    <w:rsid w:val="005C4F4E"/>
    <w:rsid w:val="005C51D2"/>
    <w:rsid w:val="005C5231"/>
    <w:rsid w:val="005C65B8"/>
    <w:rsid w:val="005C6DF3"/>
    <w:rsid w:val="005C75CA"/>
    <w:rsid w:val="005D03A4"/>
    <w:rsid w:val="005D042E"/>
    <w:rsid w:val="005D111C"/>
    <w:rsid w:val="005D133D"/>
    <w:rsid w:val="005D147A"/>
    <w:rsid w:val="005D1FEF"/>
    <w:rsid w:val="005D215D"/>
    <w:rsid w:val="005D4720"/>
    <w:rsid w:val="005D5F56"/>
    <w:rsid w:val="005D67DC"/>
    <w:rsid w:val="005D6F4D"/>
    <w:rsid w:val="005E01AE"/>
    <w:rsid w:val="005E0227"/>
    <w:rsid w:val="005E0553"/>
    <w:rsid w:val="005E1C81"/>
    <w:rsid w:val="005E1D2C"/>
    <w:rsid w:val="005E2026"/>
    <w:rsid w:val="005E2A11"/>
    <w:rsid w:val="005E2BA9"/>
    <w:rsid w:val="005E3117"/>
    <w:rsid w:val="005E3A08"/>
    <w:rsid w:val="005E3B74"/>
    <w:rsid w:val="005E3DC4"/>
    <w:rsid w:val="005E3DD9"/>
    <w:rsid w:val="005E41E6"/>
    <w:rsid w:val="005E4551"/>
    <w:rsid w:val="005E510E"/>
    <w:rsid w:val="005E5164"/>
    <w:rsid w:val="005E5379"/>
    <w:rsid w:val="005E605D"/>
    <w:rsid w:val="005E730B"/>
    <w:rsid w:val="005E743B"/>
    <w:rsid w:val="005F00B1"/>
    <w:rsid w:val="005F05B3"/>
    <w:rsid w:val="005F25AF"/>
    <w:rsid w:val="005F28D3"/>
    <w:rsid w:val="005F2CFE"/>
    <w:rsid w:val="005F2FE6"/>
    <w:rsid w:val="005F6758"/>
    <w:rsid w:val="005F7139"/>
    <w:rsid w:val="005F7178"/>
    <w:rsid w:val="005F7A94"/>
    <w:rsid w:val="005F7E11"/>
    <w:rsid w:val="00600188"/>
    <w:rsid w:val="00600228"/>
    <w:rsid w:val="00600844"/>
    <w:rsid w:val="006008B1"/>
    <w:rsid w:val="00600D1A"/>
    <w:rsid w:val="006017F4"/>
    <w:rsid w:val="00601B4F"/>
    <w:rsid w:val="00601CB1"/>
    <w:rsid w:val="006029E9"/>
    <w:rsid w:val="00602B64"/>
    <w:rsid w:val="0060341A"/>
    <w:rsid w:val="0060470B"/>
    <w:rsid w:val="0060488F"/>
    <w:rsid w:val="00604B89"/>
    <w:rsid w:val="00604F63"/>
    <w:rsid w:val="00605288"/>
    <w:rsid w:val="006052CE"/>
    <w:rsid w:val="0060668D"/>
    <w:rsid w:val="00606B14"/>
    <w:rsid w:val="00606BA2"/>
    <w:rsid w:val="00606F54"/>
    <w:rsid w:val="00607353"/>
    <w:rsid w:val="0060759F"/>
    <w:rsid w:val="00607A16"/>
    <w:rsid w:val="006119E0"/>
    <w:rsid w:val="00611A5A"/>
    <w:rsid w:val="00611DAF"/>
    <w:rsid w:val="00611DD3"/>
    <w:rsid w:val="00611FE9"/>
    <w:rsid w:val="006126EE"/>
    <w:rsid w:val="00612874"/>
    <w:rsid w:val="00612D81"/>
    <w:rsid w:val="00612FFA"/>
    <w:rsid w:val="00613551"/>
    <w:rsid w:val="00613D0B"/>
    <w:rsid w:val="006146D3"/>
    <w:rsid w:val="00614B39"/>
    <w:rsid w:val="00614BA2"/>
    <w:rsid w:val="00615170"/>
    <w:rsid w:val="00615C87"/>
    <w:rsid w:val="00615C8E"/>
    <w:rsid w:val="0061624F"/>
    <w:rsid w:val="00616F0C"/>
    <w:rsid w:val="00620422"/>
    <w:rsid w:val="00623ECB"/>
    <w:rsid w:val="00623FB5"/>
    <w:rsid w:val="00625A69"/>
    <w:rsid w:val="00625A78"/>
    <w:rsid w:val="00626164"/>
    <w:rsid w:val="0062675E"/>
    <w:rsid w:val="006267C1"/>
    <w:rsid w:val="006268B0"/>
    <w:rsid w:val="006279CC"/>
    <w:rsid w:val="00627A11"/>
    <w:rsid w:val="00630217"/>
    <w:rsid w:val="00630AC8"/>
    <w:rsid w:val="00630E88"/>
    <w:rsid w:val="00631A12"/>
    <w:rsid w:val="00631EA4"/>
    <w:rsid w:val="0063234D"/>
    <w:rsid w:val="006323AB"/>
    <w:rsid w:val="00632B21"/>
    <w:rsid w:val="00632C5F"/>
    <w:rsid w:val="00633C31"/>
    <w:rsid w:val="0063422A"/>
    <w:rsid w:val="00634845"/>
    <w:rsid w:val="00634881"/>
    <w:rsid w:val="00634A8C"/>
    <w:rsid w:val="00634E1F"/>
    <w:rsid w:val="00634E9F"/>
    <w:rsid w:val="006353F8"/>
    <w:rsid w:val="00637371"/>
    <w:rsid w:val="00640398"/>
    <w:rsid w:val="006403D4"/>
    <w:rsid w:val="006409E7"/>
    <w:rsid w:val="00641081"/>
    <w:rsid w:val="0064161B"/>
    <w:rsid w:val="006428CE"/>
    <w:rsid w:val="00643123"/>
    <w:rsid w:val="0064312C"/>
    <w:rsid w:val="006431C9"/>
    <w:rsid w:val="006437D4"/>
    <w:rsid w:val="00643ED7"/>
    <w:rsid w:val="00644261"/>
    <w:rsid w:val="00644F22"/>
    <w:rsid w:val="006450E4"/>
    <w:rsid w:val="0064565A"/>
    <w:rsid w:val="00645A15"/>
    <w:rsid w:val="00645CAB"/>
    <w:rsid w:val="0064601C"/>
    <w:rsid w:val="00646FC5"/>
    <w:rsid w:val="0064748C"/>
    <w:rsid w:val="006474B6"/>
    <w:rsid w:val="00650065"/>
    <w:rsid w:val="00650861"/>
    <w:rsid w:val="00651E2E"/>
    <w:rsid w:val="00651E37"/>
    <w:rsid w:val="006524FC"/>
    <w:rsid w:val="006534E1"/>
    <w:rsid w:val="0065357D"/>
    <w:rsid w:val="00653987"/>
    <w:rsid w:val="0065507C"/>
    <w:rsid w:val="006550AD"/>
    <w:rsid w:val="006553D7"/>
    <w:rsid w:val="00655DDD"/>
    <w:rsid w:val="006560FE"/>
    <w:rsid w:val="00656549"/>
    <w:rsid w:val="00656726"/>
    <w:rsid w:val="006572A4"/>
    <w:rsid w:val="006576B7"/>
    <w:rsid w:val="006601D0"/>
    <w:rsid w:val="0066135F"/>
    <w:rsid w:val="006620FB"/>
    <w:rsid w:val="00662137"/>
    <w:rsid w:val="006623E1"/>
    <w:rsid w:val="00663021"/>
    <w:rsid w:val="00664007"/>
    <w:rsid w:val="00664016"/>
    <w:rsid w:val="0066402E"/>
    <w:rsid w:val="0066405B"/>
    <w:rsid w:val="00664C53"/>
    <w:rsid w:val="0066501B"/>
    <w:rsid w:val="00665EB1"/>
    <w:rsid w:val="006663DF"/>
    <w:rsid w:val="00666B69"/>
    <w:rsid w:val="00667077"/>
    <w:rsid w:val="006679D8"/>
    <w:rsid w:val="006700C9"/>
    <w:rsid w:val="00670524"/>
    <w:rsid w:val="006707BB"/>
    <w:rsid w:val="00671139"/>
    <w:rsid w:val="006713B5"/>
    <w:rsid w:val="006715B0"/>
    <w:rsid w:val="00671AC5"/>
    <w:rsid w:val="00672BD2"/>
    <w:rsid w:val="0067307C"/>
    <w:rsid w:val="00673651"/>
    <w:rsid w:val="00673D1E"/>
    <w:rsid w:val="00674363"/>
    <w:rsid w:val="00674385"/>
    <w:rsid w:val="006745FC"/>
    <w:rsid w:val="00674F72"/>
    <w:rsid w:val="0067512C"/>
    <w:rsid w:val="0067527F"/>
    <w:rsid w:val="006754B2"/>
    <w:rsid w:val="006762FA"/>
    <w:rsid w:val="00676AD4"/>
    <w:rsid w:val="00676DFC"/>
    <w:rsid w:val="00676E4B"/>
    <w:rsid w:val="0067792F"/>
    <w:rsid w:val="00680C8B"/>
    <w:rsid w:val="00680F0E"/>
    <w:rsid w:val="00680FA0"/>
    <w:rsid w:val="00681772"/>
    <w:rsid w:val="00682239"/>
    <w:rsid w:val="00682EB2"/>
    <w:rsid w:val="00683DBF"/>
    <w:rsid w:val="00684292"/>
    <w:rsid w:val="00684719"/>
    <w:rsid w:val="00684FAB"/>
    <w:rsid w:val="006852BE"/>
    <w:rsid w:val="00685502"/>
    <w:rsid w:val="00685518"/>
    <w:rsid w:val="006856E8"/>
    <w:rsid w:val="00685D2A"/>
    <w:rsid w:val="00686219"/>
    <w:rsid w:val="006862E6"/>
    <w:rsid w:val="0068668F"/>
    <w:rsid w:val="006866BF"/>
    <w:rsid w:val="006869C2"/>
    <w:rsid w:val="006870FC"/>
    <w:rsid w:val="006907C1"/>
    <w:rsid w:val="00690CC7"/>
    <w:rsid w:val="0069136A"/>
    <w:rsid w:val="00691795"/>
    <w:rsid w:val="006920BC"/>
    <w:rsid w:val="00692196"/>
    <w:rsid w:val="006925B2"/>
    <w:rsid w:val="006929F3"/>
    <w:rsid w:val="006932AB"/>
    <w:rsid w:val="0069368C"/>
    <w:rsid w:val="006948D1"/>
    <w:rsid w:val="00694E8A"/>
    <w:rsid w:val="006960A9"/>
    <w:rsid w:val="00696373"/>
    <w:rsid w:val="00697187"/>
    <w:rsid w:val="006973FF"/>
    <w:rsid w:val="00697538"/>
    <w:rsid w:val="006979B3"/>
    <w:rsid w:val="00697C25"/>
    <w:rsid w:val="00697CF4"/>
    <w:rsid w:val="006A0C5C"/>
    <w:rsid w:val="006A18EC"/>
    <w:rsid w:val="006A2F13"/>
    <w:rsid w:val="006A3C41"/>
    <w:rsid w:val="006A3D48"/>
    <w:rsid w:val="006A42CB"/>
    <w:rsid w:val="006A42EF"/>
    <w:rsid w:val="006A534A"/>
    <w:rsid w:val="006A5892"/>
    <w:rsid w:val="006A5DA1"/>
    <w:rsid w:val="006A631E"/>
    <w:rsid w:val="006A7485"/>
    <w:rsid w:val="006B0895"/>
    <w:rsid w:val="006B0A9C"/>
    <w:rsid w:val="006B0C67"/>
    <w:rsid w:val="006B0D89"/>
    <w:rsid w:val="006B0E4A"/>
    <w:rsid w:val="006B10A9"/>
    <w:rsid w:val="006B3382"/>
    <w:rsid w:val="006B3888"/>
    <w:rsid w:val="006B4A6E"/>
    <w:rsid w:val="006B4B42"/>
    <w:rsid w:val="006B542B"/>
    <w:rsid w:val="006B5928"/>
    <w:rsid w:val="006B59A8"/>
    <w:rsid w:val="006B6196"/>
    <w:rsid w:val="006B6239"/>
    <w:rsid w:val="006B63A0"/>
    <w:rsid w:val="006B66F0"/>
    <w:rsid w:val="006B739F"/>
    <w:rsid w:val="006C0891"/>
    <w:rsid w:val="006C0D42"/>
    <w:rsid w:val="006C20A7"/>
    <w:rsid w:val="006C3321"/>
    <w:rsid w:val="006C3A73"/>
    <w:rsid w:val="006C4277"/>
    <w:rsid w:val="006C47DD"/>
    <w:rsid w:val="006C4CEE"/>
    <w:rsid w:val="006C6BE4"/>
    <w:rsid w:val="006C782D"/>
    <w:rsid w:val="006C7FD0"/>
    <w:rsid w:val="006D04CE"/>
    <w:rsid w:val="006D0B92"/>
    <w:rsid w:val="006D11B3"/>
    <w:rsid w:val="006D2997"/>
    <w:rsid w:val="006D2AC4"/>
    <w:rsid w:val="006D31F7"/>
    <w:rsid w:val="006D3331"/>
    <w:rsid w:val="006D3EFB"/>
    <w:rsid w:val="006D49D8"/>
    <w:rsid w:val="006D52CD"/>
    <w:rsid w:val="006D5AB4"/>
    <w:rsid w:val="006D7F70"/>
    <w:rsid w:val="006E16A6"/>
    <w:rsid w:val="006E1AAE"/>
    <w:rsid w:val="006E29D2"/>
    <w:rsid w:val="006E37A3"/>
    <w:rsid w:val="006E3A0A"/>
    <w:rsid w:val="006E3B3F"/>
    <w:rsid w:val="006E3D2D"/>
    <w:rsid w:val="006E3D5D"/>
    <w:rsid w:val="006E3E9B"/>
    <w:rsid w:val="006E531A"/>
    <w:rsid w:val="006E629C"/>
    <w:rsid w:val="006F0495"/>
    <w:rsid w:val="006F0631"/>
    <w:rsid w:val="006F07AA"/>
    <w:rsid w:val="006F085C"/>
    <w:rsid w:val="006F0CD0"/>
    <w:rsid w:val="006F1250"/>
    <w:rsid w:val="006F1377"/>
    <w:rsid w:val="006F17B7"/>
    <w:rsid w:val="006F18DE"/>
    <w:rsid w:val="006F1CE6"/>
    <w:rsid w:val="006F1D7F"/>
    <w:rsid w:val="006F217A"/>
    <w:rsid w:val="006F2187"/>
    <w:rsid w:val="006F250E"/>
    <w:rsid w:val="006F273C"/>
    <w:rsid w:val="006F29A2"/>
    <w:rsid w:val="006F339D"/>
    <w:rsid w:val="006F39A7"/>
    <w:rsid w:val="006F3DCB"/>
    <w:rsid w:val="006F44DA"/>
    <w:rsid w:val="006F45E2"/>
    <w:rsid w:val="006F5FF7"/>
    <w:rsid w:val="006F654E"/>
    <w:rsid w:val="006F728A"/>
    <w:rsid w:val="00700E81"/>
    <w:rsid w:val="00701231"/>
    <w:rsid w:val="00701466"/>
    <w:rsid w:val="007020D6"/>
    <w:rsid w:val="00703845"/>
    <w:rsid w:val="00703946"/>
    <w:rsid w:val="00703FF2"/>
    <w:rsid w:val="00704B42"/>
    <w:rsid w:val="007056A7"/>
    <w:rsid w:val="00706115"/>
    <w:rsid w:val="00706FB8"/>
    <w:rsid w:val="00710443"/>
    <w:rsid w:val="00710892"/>
    <w:rsid w:val="007112D2"/>
    <w:rsid w:val="00711992"/>
    <w:rsid w:val="00711CA0"/>
    <w:rsid w:val="00713353"/>
    <w:rsid w:val="00713A2F"/>
    <w:rsid w:val="00714C2C"/>
    <w:rsid w:val="00714FD0"/>
    <w:rsid w:val="00715159"/>
    <w:rsid w:val="007155AB"/>
    <w:rsid w:val="007175AC"/>
    <w:rsid w:val="00717B29"/>
    <w:rsid w:val="007204F8"/>
    <w:rsid w:val="007216D2"/>
    <w:rsid w:val="00721854"/>
    <w:rsid w:val="007218EE"/>
    <w:rsid w:val="0072277F"/>
    <w:rsid w:val="007227CC"/>
    <w:rsid w:val="007236B5"/>
    <w:rsid w:val="0072406F"/>
    <w:rsid w:val="0072435F"/>
    <w:rsid w:val="00724F87"/>
    <w:rsid w:val="00726451"/>
    <w:rsid w:val="00727022"/>
    <w:rsid w:val="00727993"/>
    <w:rsid w:val="00730043"/>
    <w:rsid w:val="0073027E"/>
    <w:rsid w:val="0073051B"/>
    <w:rsid w:val="00730DF7"/>
    <w:rsid w:val="00732D43"/>
    <w:rsid w:val="00732F48"/>
    <w:rsid w:val="00733199"/>
    <w:rsid w:val="00733318"/>
    <w:rsid w:val="00733F06"/>
    <w:rsid w:val="00735054"/>
    <w:rsid w:val="007355D1"/>
    <w:rsid w:val="007363F1"/>
    <w:rsid w:val="007365D2"/>
    <w:rsid w:val="00737002"/>
    <w:rsid w:val="007374ED"/>
    <w:rsid w:val="00740C9A"/>
    <w:rsid w:val="007413D0"/>
    <w:rsid w:val="00742404"/>
    <w:rsid w:val="0074251E"/>
    <w:rsid w:val="00742CFD"/>
    <w:rsid w:val="007433CD"/>
    <w:rsid w:val="007436B6"/>
    <w:rsid w:val="00743F47"/>
    <w:rsid w:val="00744499"/>
    <w:rsid w:val="00744BC1"/>
    <w:rsid w:val="0074533A"/>
    <w:rsid w:val="00746619"/>
    <w:rsid w:val="007468C3"/>
    <w:rsid w:val="00747086"/>
    <w:rsid w:val="0074744B"/>
    <w:rsid w:val="0074788C"/>
    <w:rsid w:val="00750022"/>
    <w:rsid w:val="007515CD"/>
    <w:rsid w:val="0075195C"/>
    <w:rsid w:val="00751B6E"/>
    <w:rsid w:val="0075201C"/>
    <w:rsid w:val="00752935"/>
    <w:rsid w:val="00752B49"/>
    <w:rsid w:val="00753412"/>
    <w:rsid w:val="00753789"/>
    <w:rsid w:val="00753D0D"/>
    <w:rsid w:val="00754068"/>
    <w:rsid w:val="007541CC"/>
    <w:rsid w:val="00755DDB"/>
    <w:rsid w:val="007560BE"/>
    <w:rsid w:val="0075783F"/>
    <w:rsid w:val="00757E39"/>
    <w:rsid w:val="0076003E"/>
    <w:rsid w:val="0076035A"/>
    <w:rsid w:val="00760B43"/>
    <w:rsid w:val="00760D7A"/>
    <w:rsid w:val="007611B4"/>
    <w:rsid w:val="00762321"/>
    <w:rsid w:val="00762430"/>
    <w:rsid w:val="0076275A"/>
    <w:rsid w:val="0076284D"/>
    <w:rsid w:val="007629B1"/>
    <w:rsid w:val="00762C34"/>
    <w:rsid w:val="00763150"/>
    <w:rsid w:val="00763A30"/>
    <w:rsid w:val="00763C9B"/>
    <w:rsid w:val="00764302"/>
    <w:rsid w:val="007645BE"/>
    <w:rsid w:val="00764614"/>
    <w:rsid w:val="00764AF4"/>
    <w:rsid w:val="007655C3"/>
    <w:rsid w:val="0076591A"/>
    <w:rsid w:val="00765DF7"/>
    <w:rsid w:val="007677DB"/>
    <w:rsid w:val="007678CA"/>
    <w:rsid w:val="00770595"/>
    <w:rsid w:val="00770669"/>
    <w:rsid w:val="00770673"/>
    <w:rsid w:val="00770A53"/>
    <w:rsid w:val="007710E1"/>
    <w:rsid w:val="00771737"/>
    <w:rsid w:val="0077177F"/>
    <w:rsid w:val="00771825"/>
    <w:rsid w:val="00771ED3"/>
    <w:rsid w:val="00773078"/>
    <w:rsid w:val="00773DB5"/>
    <w:rsid w:val="007742B6"/>
    <w:rsid w:val="00774817"/>
    <w:rsid w:val="007748D2"/>
    <w:rsid w:val="0077497B"/>
    <w:rsid w:val="007749AC"/>
    <w:rsid w:val="00774E9A"/>
    <w:rsid w:val="00775E25"/>
    <w:rsid w:val="0077650B"/>
    <w:rsid w:val="00776BA7"/>
    <w:rsid w:val="007777E5"/>
    <w:rsid w:val="00777B32"/>
    <w:rsid w:val="007807C8"/>
    <w:rsid w:val="00780964"/>
    <w:rsid w:val="00780F17"/>
    <w:rsid w:val="007817F7"/>
    <w:rsid w:val="00781872"/>
    <w:rsid w:val="007825E8"/>
    <w:rsid w:val="007827BC"/>
    <w:rsid w:val="007830A4"/>
    <w:rsid w:val="007834DC"/>
    <w:rsid w:val="0078399F"/>
    <w:rsid w:val="00783C69"/>
    <w:rsid w:val="007840D2"/>
    <w:rsid w:val="00784D19"/>
    <w:rsid w:val="00785303"/>
    <w:rsid w:val="007853D8"/>
    <w:rsid w:val="0078549F"/>
    <w:rsid w:val="00785DE3"/>
    <w:rsid w:val="00786D65"/>
    <w:rsid w:val="0078722B"/>
    <w:rsid w:val="00787AF0"/>
    <w:rsid w:val="00787DCE"/>
    <w:rsid w:val="00790500"/>
    <w:rsid w:val="0079134A"/>
    <w:rsid w:val="007919CA"/>
    <w:rsid w:val="00791CC4"/>
    <w:rsid w:val="00791E45"/>
    <w:rsid w:val="00792054"/>
    <w:rsid w:val="0079264E"/>
    <w:rsid w:val="00793267"/>
    <w:rsid w:val="0079371C"/>
    <w:rsid w:val="00793B5B"/>
    <w:rsid w:val="00793F9F"/>
    <w:rsid w:val="00794142"/>
    <w:rsid w:val="00794B1B"/>
    <w:rsid w:val="00795110"/>
    <w:rsid w:val="00795506"/>
    <w:rsid w:val="0079564D"/>
    <w:rsid w:val="007963A5"/>
    <w:rsid w:val="007A0C7F"/>
    <w:rsid w:val="007A123D"/>
    <w:rsid w:val="007A16F7"/>
    <w:rsid w:val="007A26C9"/>
    <w:rsid w:val="007A29E7"/>
    <w:rsid w:val="007A2E09"/>
    <w:rsid w:val="007A3CB0"/>
    <w:rsid w:val="007A4B6A"/>
    <w:rsid w:val="007A4E90"/>
    <w:rsid w:val="007A5897"/>
    <w:rsid w:val="007A58A3"/>
    <w:rsid w:val="007A5EF0"/>
    <w:rsid w:val="007A6582"/>
    <w:rsid w:val="007A6809"/>
    <w:rsid w:val="007A6828"/>
    <w:rsid w:val="007A6829"/>
    <w:rsid w:val="007B0559"/>
    <w:rsid w:val="007B0B26"/>
    <w:rsid w:val="007B2EFF"/>
    <w:rsid w:val="007B34D0"/>
    <w:rsid w:val="007B398B"/>
    <w:rsid w:val="007B3A0E"/>
    <w:rsid w:val="007B3D4A"/>
    <w:rsid w:val="007B40A9"/>
    <w:rsid w:val="007B4925"/>
    <w:rsid w:val="007B5655"/>
    <w:rsid w:val="007B5985"/>
    <w:rsid w:val="007B5A24"/>
    <w:rsid w:val="007B5A2A"/>
    <w:rsid w:val="007B5F4A"/>
    <w:rsid w:val="007B64C8"/>
    <w:rsid w:val="007B702D"/>
    <w:rsid w:val="007C036C"/>
    <w:rsid w:val="007C1868"/>
    <w:rsid w:val="007C1ACF"/>
    <w:rsid w:val="007C3101"/>
    <w:rsid w:val="007C33EE"/>
    <w:rsid w:val="007C3473"/>
    <w:rsid w:val="007C379A"/>
    <w:rsid w:val="007C4010"/>
    <w:rsid w:val="007C4089"/>
    <w:rsid w:val="007C481B"/>
    <w:rsid w:val="007C4A92"/>
    <w:rsid w:val="007C537A"/>
    <w:rsid w:val="007C6024"/>
    <w:rsid w:val="007C6306"/>
    <w:rsid w:val="007C68A0"/>
    <w:rsid w:val="007C7F7D"/>
    <w:rsid w:val="007D0083"/>
    <w:rsid w:val="007D0687"/>
    <w:rsid w:val="007D0B8F"/>
    <w:rsid w:val="007D0EF8"/>
    <w:rsid w:val="007D18FA"/>
    <w:rsid w:val="007D216A"/>
    <w:rsid w:val="007D220B"/>
    <w:rsid w:val="007D23FC"/>
    <w:rsid w:val="007D25B0"/>
    <w:rsid w:val="007D25ED"/>
    <w:rsid w:val="007D2BCE"/>
    <w:rsid w:val="007D2E03"/>
    <w:rsid w:val="007D2E12"/>
    <w:rsid w:val="007D36CA"/>
    <w:rsid w:val="007D3820"/>
    <w:rsid w:val="007D3B3A"/>
    <w:rsid w:val="007D43ED"/>
    <w:rsid w:val="007D4461"/>
    <w:rsid w:val="007D49C3"/>
    <w:rsid w:val="007D4AB5"/>
    <w:rsid w:val="007D5AFD"/>
    <w:rsid w:val="007D6585"/>
    <w:rsid w:val="007D6645"/>
    <w:rsid w:val="007D6778"/>
    <w:rsid w:val="007E0073"/>
    <w:rsid w:val="007E029D"/>
    <w:rsid w:val="007E19D2"/>
    <w:rsid w:val="007E24EB"/>
    <w:rsid w:val="007E2E48"/>
    <w:rsid w:val="007E2EF3"/>
    <w:rsid w:val="007E39FD"/>
    <w:rsid w:val="007E3A25"/>
    <w:rsid w:val="007E3CB9"/>
    <w:rsid w:val="007E4645"/>
    <w:rsid w:val="007E478F"/>
    <w:rsid w:val="007E49B1"/>
    <w:rsid w:val="007E4CCB"/>
    <w:rsid w:val="007E5147"/>
    <w:rsid w:val="007E575A"/>
    <w:rsid w:val="007E5E4D"/>
    <w:rsid w:val="007E6F95"/>
    <w:rsid w:val="007E6FA5"/>
    <w:rsid w:val="007E7242"/>
    <w:rsid w:val="007E7552"/>
    <w:rsid w:val="007E7A5D"/>
    <w:rsid w:val="007F0000"/>
    <w:rsid w:val="007F0064"/>
    <w:rsid w:val="007F01E0"/>
    <w:rsid w:val="007F04C4"/>
    <w:rsid w:val="007F0AA1"/>
    <w:rsid w:val="007F182B"/>
    <w:rsid w:val="007F1907"/>
    <w:rsid w:val="007F1D63"/>
    <w:rsid w:val="007F2FB5"/>
    <w:rsid w:val="007F3232"/>
    <w:rsid w:val="007F3DC9"/>
    <w:rsid w:val="007F3F1E"/>
    <w:rsid w:val="007F4301"/>
    <w:rsid w:val="007F474D"/>
    <w:rsid w:val="007F4F91"/>
    <w:rsid w:val="007F5180"/>
    <w:rsid w:val="007F6E42"/>
    <w:rsid w:val="008002FC"/>
    <w:rsid w:val="008012A5"/>
    <w:rsid w:val="00801A92"/>
    <w:rsid w:val="00801DA3"/>
    <w:rsid w:val="00803E39"/>
    <w:rsid w:val="00804337"/>
    <w:rsid w:val="00804839"/>
    <w:rsid w:val="00806384"/>
    <w:rsid w:val="00806B04"/>
    <w:rsid w:val="00806D40"/>
    <w:rsid w:val="00806EF9"/>
    <w:rsid w:val="008105F8"/>
    <w:rsid w:val="0081219A"/>
    <w:rsid w:val="008121B0"/>
    <w:rsid w:val="008139FB"/>
    <w:rsid w:val="00814854"/>
    <w:rsid w:val="00814B06"/>
    <w:rsid w:val="00815838"/>
    <w:rsid w:val="00815AF3"/>
    <w:rsid w:val="008208CA"/>
    <w:rsid w:val="008211BD"/>
    <w:rsid w:val="0082125C"/>
    <w:rsid w:val="008215F4"/>
    <w:rsid w:val="0082181F"/>
    <w:rsid w:val="00821A4A"/>
    <w:rsid w:val="00821F10"/>
    <w:rsid w:val="00821F54"/>
    <w:rsid w:val="00822177"/>
    <w:rsid w:val="00822539"/>
    <w:rsid w:val="008227F0"/>
    <w:rsid w:val="00822CEC"/>
    <w:rsid w:val="008230EA"/>
    <w:rsid w:val="008233CE"/>
    <w:rsid w:val="00823C5B"/>
    <w:rsid w:val="008252A6"/>
    <w:rsid w:val="008258CB"/>
    <w:rsid w:val="008275C1"/>
    <w:rsid w:val="0083010A"/>
    <w:rsid w:val="00830672"/>
    <w:rsid w:val="00830F80"/>
    <w:rsid w:val="00831F20"/>
    <w:rsid w:val="008322C6"/>
    <w:rsid w:val="00832418"/>
    <w:rsid w:val="008326B1"/>
    <w:rsid w:val="00832A2B"/>
    <w:rsid w:val="00832BD0"/>
    <w:rsid w:val="008334AD"/>
    <w:rsid w:val="008334FD"/>
    <w:rsid w:val="00833D13"/>
    <w:rsid w:val="00833EB1"/>
    <w:rsid w:val="00834569"/>
    <w:rsid w:val="0083484C"/>
    <w:rsid w:val="008351AE"/>
    <w:rsid w:val="008355A7"/>
    <w:rsid w:val="00835B71"/>
    <w:rsid w:val="008362FF"/>
    <w:rsid w:val="008365C2"/>
    <w:rsid w:val="00836AD9"/>
    <w:rsid w:val="00836D19"/>
    <w:rsid w:val="008374A8"/>
    <w:rsid w:val="00837E6F"/>
    <w:rsid w:val="00837FC4"/>
    <w:rsid w:val="00840C39"/>
    <w:rsid w:val="00840E22"/>
    <w:rsid w:val="0084107B"/>
    <w:rsid w:val="00841C9C"/>
    <w:rsid w:val="008428DF"/>
    <w:rsid w:val="00842F26"/>
    <w:rsid w:val="00843A9C"/>
    <w:rsid w:val="00844443"/>
    <w:rsid w:val="00844F6A"/>
    <w:rsid w:val="00846498"/>
    <w:rsid w:val="00846578"/>
    <w:rsid w:val="0084667C"/>
    <w:rsid w:val="0084669A"/>
    <w:rsid w:val="008477AE"/>
    <w:rsid w:val="00847E4C"/>
    <w:rsid w:val="008500CC"/>
    <w:rsid w:val="0085070B"/>
    <w:rsid w:val="008513D2"/>
    <w:rsid w:val="00851C87"/>
    <w:rsid w:val="008520BF"/>
    <w:rsid w:val="0085266D"/>
    <w:rsid w:val="008531BC"/>
    <w:rsid w:val="00853544"/>
    <w:rsid w:val="00853967"/>
    <w:rsid w:val="00853C6B"/>
    <w:rsid w:val="00853EFB"/>
    <w:rsid w:val="008540C8"/>
    <w:rsid w:val="008541A8"/>
    <w:rsid w:val="008554AF"/>
    <w:rsid w:val="008557BA"/>
    <w:rsid w:val="008564FA"/>
    <w:rsid w:val="00856A6E"/>
    <w:rsid w:val="008572B4"/>
    <w:rsid w:val="0085768A"/>
    <w:rsid w:val="0085798C"/>
    <w:rsid w:val="00857AAC"/>
    <w:rsid w:val="00857E13"/>
    <w:rsid w:val="008601DA"/>
    <w:rsid w:val="0086044A"/>
    <w:rsid w:val="00860465"/>
    <w:rsid w:val="008615B4"/>
    <w:rsid w:val="00861A7F"/>
    <w:rsid w:val="008622E0"/>
    <w:rsid w:val="00862D38"/>
    <w:rsid w:val="0086341E"/>
    <w:rsid w:val="00863AFF"/>
    <w:rsid w:val="00865378"/>
    <w:rsid w:val="00865B37"/>
    <w:rsid w:val="00865C00"/>
    <w:rsid w:val="00866036"/>
    <w:rsid w:val="00866B55"/>
    <w:rsid w:val="00866D12"/>
    <w:rsid w:val="00867B24"/>
    <w:rsid w:val="00867FD4"/>
    <w:rsid w:val="00870C34"/>
    <w:rsid w:val="00870F66"/>
    <w:rsid w:val="00871E43"/>
    <w:rsid w:val="00872363"/>
    <w:rsid w:val="00873311"/>
    <w:rsid w:val="00873AEB"/>
    <w:rsid w:val="00873C7F"/>
    <w:rsid w:val="0087408E"/>
    <w:rsid w:val="008750E5"/>
    <w:rsid w:val="00875B31"/>
    <w:rsid w:val="00875C63"/>
    <w:rsid w:val="00875FE5"/>
    <w:rsid w:val="008763B6"/>
    <w:rsid w:val="00877494"/>
    <w:rsid w:val="00877B29"/>
    <w:rsid w:val="00880791"/>
    <w:rsid w:val="0088081A"/>
    <w:rsid w:val="00881E08"/>
    <w:rsid w:val="00882644"/>
    <w:rsid w:val="008827A7"/>
    <w:rsid w:val="00882B7C"/>
    <w:rsid w:val="00882B89"/>
    <w:rsid w:val="00882DF5"/>
    <w:rsid w:val="00882EAD"/>
    <w:rsid w:val="008839B8"/>
    <w:rsid w:val="00884AD2"/>
    <w:rsid w:val="008853FC"/>
    <w:rsid w:val="008856BC"/>
    <w:rsid w:val="00886812"/>
    <w:rsid w:val="008869B3"/>
    <w:rsid w:val="00887081"/>
    <w:rsid w:val="00887203"/>
    <w:rsid w:val="00887CD5"/>
    <w:rsid w:val="00887D22"/>
    <w:rsid w:val="008900DA"/>
    <w:rsid w:val="00890482"/>
    <w:rsid w:val="00890956"/>
    <w:rsid w:val="008910D8"/>
    <w:rsid w:val="00891167"/>
    <w:rsid w:val="00893029"/>
    <w:rsid w:val="00893562"/>
    <w:rsid w:val="00893A9C"/>
    <w:rsid w:val="00893EA4"/>
    <w:rsid w:val="00894145"/>
    <w:rsid w:val="00894B68"/>
    <w:rsid w:val="00895288"/>
    <w:rsid w:val="00895BB0"/>
    <w:rsid w:val="00896066"/>
    <w:rsid w:val="008962DD"/>
    <w:rsid w:val="008966B3"/>
    <w:rsid w:val="00896FD6"/>
    <w:rsid w:val="008A02C8"/>
    <w:rsid w:val="008A19C8"/>
    <w:rsid w:val="008A1FF4"/>
    <w:rsid w:val="008A3110"/>
    <w:rsid w:val="008A362A"/>
    <w:rsid w:val="008A38B5"/>
    <w:rsid w:val="008A3BFA"/>
    <w:rsid w:val="008A3CCA"/>
    <w:rsid w:val="008A5B2C"/>
    <w:rsid w:val="008A5C5D"/>
    <w:rsid w:val="008A5CC9"/>
    <w:rsid w:val="008A6C36"/>
    <w:rsid w:val="008B01F2"/>
    <w:rsid w:val="008B0288"/>
    <w:rsid w:val="008B0F9A"/>
    <w:rsid w:val="008B2369"/>
    <w:rsid w:val="008B23E9"/>
    <w:rsid w:val="008B25BA"/>
    <w:rsid w:val="008B27BB"/>
    <w:rsid w:val="008B2943"/>
    <w:rsid w:val="008B2C4B"/>
    <w:rsid w:val="008B33AA"/>
    <w:rsid w:val="008B340D"/>
    <w:rsid w:val="008B34FC"/>
    <w:rsid w:val="008B3A7A"/>
    <w:rsid w:val="008B40B7"/>
    <w:rsid w:val="008B43F7"/>
    <w:rsid w:val="008B45D0"/>
    <w:rsid w:val="008B4EE3"/>
    <w:rsid w:val="008B6516"/>
    <w:rsid w:val="008B6785"/>
    <w:rsid w:val="008B71ED"/>
    <w:rsid w:val="008B7523"/>
    <w:rsid w:val="008B7ADF"/>
    <w:rsid w:val="008C11F2"/>
    <w:rsid w:val="008C1407"/>
    <w:rsid w:val="008C162D"/>
    <w:rsid w:val="008C166F"/>
    <w:rsid w:val="008C1706"/>
    <w:rsid w:val="008C1790"/>
    <w:rsid w:val="008C1865"/>
    <w:rsid w:val="008C19BD"/>
    <w:rsid w:val="008C3E62"/>
    <w:rsid w:val="008C4636"/>
    <w:rsid w:val="008C47D5"/>
    <w:rsid w:val="008C6C06"/>
    <w:rsid w:val="008C722D"/>
    <w:rsid w:val="008C7307"/>
    <w:rsid w:val="008C73B6"/>
    <w:rsid w:val="008D0695"/>
    <w:rsid w:val="008D0C1A"/>
    <w:rsid w:val="008D115D"/>
    <w:rsid w:val="008D1E88"/>
    <w:rsid w:val="008D20DF"/>
    <w:rsid w:val="008D289E"/>
    <w:rsid w:val="008D2E74"/>
    <w:rsid w:val="008D2F8B"/>
    <w:rsid w:val="008D3EFE"/>
    <w:rsid w:val="008D49AA"/>
    <w:rsid w:val="008D5213"/>
    <w:rsid w:val="008D57B5"/>
    <w:rsid w:val="008D63C8"/>
    <w:rsid w:val="008D6A61"/>
    <w:rsid w:val="008D7D6A"/>
    <w:rsid w:val="008E00F3"/>
    <w:rsid w:val="008E16D6"/>
    <w:rsid w:val="008E17E8"/>
    <w:rsid w:val="008E1D03"/>
    <w:rsid w:val="008E22D2"/>
    <w:rsid w:val="008E2575"/>
    <w:rsid w:val="008E290F"/>
    <w:rsid w:val="008E2B70"/>
    <w:rsid w:val="008E3717"/>
    <w:rsid w:val="008E4A77"/>
    <w:rsid w:val="008E4DDC"/>
    <w:rsid w:val="008E4DDE"/>
    <w:rsid w:val="008E4E8B"/>
    <w:rsid w:val="008E5B6D"/>
    <w:rsid w:val="008E60CD"/>
    <w:rsid w:val="008E627D"/>
    <w:rsid w:val="008E6BA7"/>
    <w:rsid w:val="008E79AF"/>
    <w:rsid w:val="008F07F4"/>
    <w:rsid w:val="008F1A98"/>
    <w:rsid w:val="008F2AC3"/>
    <w:rsid w:val="008F3A71"/>
    <w:rsid w:val="008F3FCC"/>
    <w:rsid w:val="008F5E26"/>
    <w:rsid w:val="008F772D"/>
    <w:rsid w:val="008F7A58"/>
    <w:rsid w:val="00900606"/>
    <w:rsid w:val="00900DD5"/>
    <w:rsid w:val="00900EAF"/>
    <w:rsid w:val="009011C9"/>
    <w:rsid w:val="0090156E"/>
    <w:rsid w:val="00901634"/>
    <w:rsid w:val="00901847"/>
    <w:rsid w:val="009034FB"/>
    <w:rsid w:val="0090392A"/>
    <w:rsid w:val="00903DB2"/>
    <w:rsid w:val="00904383"/>
    <w:rsid w:val="00905535"/>
    <w:rsid w:val="0090595E"/>
    <w:rsid w:val="00906792"/>
    <w:rsid w:val="00906C95"/>
    <w:rsid w:val="0090740E"/>
    <w:rsid w:val="00907462"/>
    <w:rsid w:val="0090778D"/>
    <w:rsid w:val="00907907"/>
    <w:rsid w:val="009100F4"/>
    <w:rsid w:val="0091015E"/>
    <w:rsid w:val="00910882"/>
    <w:rsid w:val="00910FAF"/>
    <w:rsid w:val="00911578"/>
    <w:rsid w:val="00911967"/>
    <w:rsid w:val="009119FB"/>
    <w:rsid w:val="00911FE3"/>
    <w:rsid w:val="009129E0"/>
    <w:rsid w:val="00912D72"/>
    <w:rsid w:val="00913153"/>
    <w:rsid w:val="00913E6C"/>
    <w:rsid w:val="00913FB9"/>
    <w:rsid w:val="009140F1"/>
    <w:rsid w:val="00914A78"/>
    <w:rsid w:val="00915662"/>
    <w:rsid w:val="009170D9"/>
    <w:rsid w:val="00917395"/>
    <w:rsid w:val="0091772E"/>
    <w:rsid w:val="00920733"/>
    <w:rsid w:val="00920888"/>
    <w:rsid w:val="009208E3"/>
    <w:rsid w:val="00921B97"/>
    <w:rsid w:val="00921C38"/>
    <w:rsid w:val="009220FD"/>
    <w:rsid w:val="00922152"/>
    <w:rsid w:val="00922751"/>
    <w:rsid w:val="009236BA"/>
    <w:rsid w:val="00923D43"/>
    <w:rsid w:val="00924E4D"/>
    <w:rsid w:val="00925C5B"/>
    <w:rsid w:val="0092620A"/>
    <w:rsid w:val="00927182"/>
    <w:rsid w:val="009278A8"/>
    <w:rsid w:val="00930568"/>
    <w:rsid w:val="009310E4"/>
    <w:rsid w:val="009311F7"/>
    <w:rsid w:val="009317F9"/>
    <w:rsid w:val="0093189D"/>
    <w:rsid w:val="00931A33"/>
    <w:rsid w:val="00931CF6"/>
    <w:rsid w:val="00932013"/>
    <w:rsid w:val="009325CF"/>
    <w:rsid w:val="00932AD9"/>
    <w:rsid w:val="00933389"/>
    <w:rsid w:val="0093416B"/>
    <w:rsid w:val="009343FD"/>
    <w:rsid w:val="00935BDD"/>
    <w:rsid w:val="00936A20"/>
    <w:rsid w:val="00936E93"/>
    <w:rsid w:val="00937467"/>
    <w:rsid w:val="009379D9"/>
    <w:rsid w:val="009416DF"/>
    <w:rsid w:val="00941F7E"/>
    <w:rsid w:val="00943105"/>
    <w:rsid w:val="00943309"/>
    <w:rsid w:val="00944ABE"/>
    <w:rsid w:val="00944DAE"/>
    <w:rsid w:val="0094523A"/>
    <w:rsid w:val="00945A43"/>
    <w:rsid w:val="00945AC4"/>
    <w:rsid w:val="009473FA"/>
    <w:rsid w:val="0095019F"/>
    <w:rsid w:val="009504B1"/>
    <w:rsid w:val="00951751"/>
    <w:rsid w:val="00951B5C"/>
    <w:rsid w:val="00952670"/>
    <w:rsid w:val="00952D20"/>
    <w:rsid w:val="009535F8"/>
    <w:rsid w:val="00953701"/>
    <w:rsid w:val="00954A36"/>
    <w:rsid w:val="00954BF9"/>
    <w:rsid w:val="00954F7E"/>
    <w:rsid w:val="009554B3"/>
    <w:rsid w:val="009563CE"/>
    <w:rsid w:val="00956843"/>
    <w:rsid w:val="00956AD2"/>
    <w:rsid w:val="00956BB4"/>
    <w:rsid w:val="00957FF6"/>
    <w:rsid w:val="0096011A"/>
    <w:rsid w:val="009601E7"/>
    <w:rsid w:val="00961798"/>
    <w:rsid w:val="00963387"/>
    <w:rsid w:val="00963CE3"/>
    <w:rsid w:val="00963E3F"/>
    <w:rsid w:val="0096418B"/>
    <w:rsid w:val="0096570B"/>
    <w:rsid w:val="00965935"/>
    <w:rsid w:val="00965D9E"/>
    <w:rsid w:val="00966E76"/>
    <w:rsid w:val="00966FF6"/>
    <w:rsid w:val="00967A1F"/>
    <w:rsid w:val="00967EC9"/>
    <w:rsid w:val="00971295"/>
    <w:rsid w:val="009716C1"/>
    <w:rsid w:val="009717C4"/>
    <w:rsid w:val="00971ABE"/>
    <w:rsid w:val="00971B83"/>
    <w:rsid w:val="00971BEE"/>
    <w:rsid w:val="00972465"/>
    <w:rsid w:val="009736F6"/>
    <w:rsid w:val="00973CBD"/>
    <w:rsid w:val="00973FC5"/>
    <w:rsid w:val="0097409F"/>
    <w:rsid w:val="009745F6"/>
    <w:rsid w:val="009746D5"/>
    <w:rsid w:val="0097489E"/>
    <w:rsid w:val="00974B96"/>
    <w:rsid w:val="009752D7"/>
    <w:rsid w:val="00976588"/>
    <w:rsid w:val="0097696D"/>
    <w:rsid w:val="009774DD"/>
    <w:rsid w:val="00977D14"/>
    <w:rsid w:val="00980384"/>
    <w:rsid w:val="009807EB"/>
    <w:rsid w:val="00980C11"/>
    <w:rsid w:val="00980DF7"/>
    <w:rsid w:val="00981636"/>
    <w:rsid w:val="00981B05"/>
    <w:rsid w:val="0098219D"/>
    <w:rsid w:val="00982640"/>
    <w:rsid w:val="0098283A"/>
    <w:rsid w:val="00982FB0"/>
    <w:rsid w:val="00982FB7"/>
    <w:rsid w:val="009838DE"/>
    <w:rsid w:val="00983D44"/>
    <w:rsid w:val="00984339"/>
    <w:rsid w:val="00985783"/>
    <w:rsid w:val="00985FE7"/>
    <w:rsid w:val="009864D1"/>
    <w:rsid w:val="00986522"/>
    <w:rsid w:val="009866D8"/>
    <w:rsid w:val="00986950"/>
    <w:rsid w:val="00986B4A"/>
    <w:rsid w:val="00986E29"/>
    <w:rsid w:val="009876E6"/>
    <w:rsid w:val="00987D0A"/>
    <w:rsid w:val="00991C14"/>
    <w:rsid w:val="00992879"/>
    <w:rsid w:val="009929DF"/>
    <w:rsid w:val="00992C68"/>
    <w:rsid w:val="00993495"/>
    <w:rsid w:val="00993910"/>
    <w:rsid w:val="00994C09"/>
    <w:rsid w:val="00995052"/>
    <w:rsid w:val="009960CF"/>
    <w:rsid w:val="009961AD"/>
    <w:rsid w:val="0099621D"/>
    <w:rsid w:val="009964A2"/>
    <w:rsid w:val="00996680"/>
    <w:rsid w:val="0099690A"/>
    <w:rsid w:val="00996C22"/>
    <w:rsid w:val="00996C43"/>
    <w:rsid w:val="00996E62"/>
    <w:rsid w:val="00996F2D"/>
    <w:rsid w:val="00997664"/>
    <w:rsid w:val="00997C04"/>
    <w:rsid w:val="00997CED"/>
    <w:rsid w:val="009A0263"/>
    <w:rsid w:val="009A0B27"/>
    <w:rsid w:val="009A0C18"/>
    <w:rsid w:val="009A1A7A"/>
    <w:rsid w:val="009A1C00"/>
    <w:rsid w:val="009A3229"/>
    <w:rsid w:val="009A380C"/>
    <w:rsid w:val="009A4CC6"/>
    <w:rsid w:val="009A5BF6"/>
    <w:rsid w:val="009A67F1"/>
    <w:rsid w:val="009A6BE5"/>
    <w:rsid w:val="009A70EB"/>
    <w:rsid w:val="009A7D87"/>
    <w:rsid w:val="009A7F02"/>
    <w:rsid w:val="009B038A"/>
    <w:rsid w:val="009B090E"/>
    <w:rsid w:val="009B13F2"/>
    <w:rsid w:val="009B1C34"/>
    <w:rsid w:val="009B23BA"/>
    <w:rsid w:val="009B266C"/>
    <w:rsid w:val="009B26C2"/>
    <w:rsid w:val="009B2E5C"/>
    <w:rsid w:val="009B2F3C"/>
    <w:rsid w:val="009B3CAB"/>
    <w:rsid w:val="009B3E6B"/>
    <w:rsid w:val="009B5193"/>
    <w:rsid w:val="009B531F"/>
    <w:rsid w:val="009B63F8"/>
    <w:rsid w:val="009B661B"/>
    <w:rsid w:val="009B6724"/>
    <w:rsid w:val="009B6753"/>
    <w:rsid w:val="009B7974"/>
    <w:rsid w:val="009C05D8"/>
    <w:rsid w:val="009C0726"/>
    <w:rsid w:val="009C152D"/>
    <w:rsid w:val="009C1D79"/>
    <w:rsid w:val="009C269A"/>
    <w:rsid w:val="009C2C0A"/>
    <w:rsid w:val="009C2CB1"/>
    <w:rsid w:val="009C3433"/>
    <w:rsid w:val="009C3957"/>
    <w:rsid w:val="009C3F99"/>
    <w:rsid w:val="009C4FB3"/>
    <w:rsid w:val="009C566A"/>
    <w:rsid w:val="009C5F04"/>
    <w:rsid w:val="009C63F9"/>
    <w:rsid w:val="009C6FA3"/>
    <w:rsid w:val="009C7013"/>
    <w:rsid w:val="009C7193"/>
    <w:rsid w:val="009C7920"/>
    <w:rsid w:val="009C79AA"/>
    <w:rsid w:val="009C7C87"/>
    <w:rsid w:val="009C7EC3"/>
    <w:rsid w:val="009D0141"/>
    <w:rsid w:val="009D03FD"/>
    <w:rsid w:val="009D08DF"/>
    <w:rsid w:val="009D0F6C"/>
    <w:rsid w:val="009D1029"/>
    <w:rsid w:val="009D1831"/>
    <w:rsid w:val="009D3A5E"/>
    <w:rsid w:val="009D4158"/>
    <w:rsid w:val="009D47D8"/>
    <w:rsid w:val="009D485C"/>
    <w:rsid w:val="009D49E8"/>
    <w:rsid w:val="009D5C17"/>
    <w:rsid w:val="009D5DFE"/>
    <w:rsid w:val="009D5FE6"/>
    <w:rsid w:val="009D7274"/>
    <w:rsid w:val="009D73C4"/>
    <w:rsid w:val="009D790C"/>
    <w:rsid w:val="009D7FDE"/>
    <w:rsid w:val="009E00B4"/>
    <w:rsid w:val="009E0BF1"/>
    <w:rsid w:val="009E0DCA"/>
    <w:rsid w:val="009E1175"/>
    <w:rsid w:val="009E14BC"/>
    <w:rsid w:val="009E22E5"/>
    <w:rsid w:val="009E2CB6"/>
    <w:rsid w:val="009E392B"/>
    <w:rsid w:val="009E4403"/>
    <w:rsid w:val="009E46B1"/>
    <w:rsid w:val="009E4749"/>
    <w:rsid w:val="009E54B3"/>
    <w:rsid w:val="009E56B5"/>
    <w:rsid w:val="009E6F37"/>
    <w:rsid w:val="009F0194"/>
    <w:rsid w:val="009F0E23"/>
    <w:rsid w:val="009F0FC4"/>
    <w:rsid w:val="009F14C7"/>
    <w:rsid w:val="009F15A0"/>
    <w:rsid w:val="009F19BB"/>
    <w:rsid w:val="009F1EE8"/>
    <w:rsid w:val="009F1F34"/>
    <w:rsid w:val="009F2706"/>
    <w:rsid w:val="009F35F5"/>
    <w:rsid w:val="009F383C"/>
    <w:rsid w:val="009F3BD9"/>
    <w:rsid w:val="009F3E0C"/>
    <w:rsid w:val="009F4C63"/>
    <w:rsid w:val="009F5021"/>
    <w:rsid w:val="009F5829"/>
    <w:rsid w:val="009F5B99"/>
    <w:rsid w:val="009F6988"/>
    <w:rsid w:val="009F6ACA"/>
    <w:rsid w:val="009F6EC2"/>
    <w:rsid w:val="009F77A0"/>
    <w:rsid w:val="009F7C3E"/>
    <w:rsid w:val="009F7DDC"/>
    <w:rsid w:val="00A002B9"/>
    <w:rsid w:val="00A00694"/>
    <w:rsid w:val="00A00C5F"/>
    <w:rsid w:val="00A00D1C"/>
    <w:rsid w:val="00A01590"/>
    <w:rsid w:val="00A01EA0"/>
    <w:rsid w:val="00A02B5B"/>
    <w:rsid w:val="00A02D8E"/>
    <w:rsid w:val="00A03815"/>
    <w:rsid w:val="00A0419D"/>
    <w:rsid w:val="00A05932"/>
    <w:rsid w:val="00A05D78"/>
    <w:rsid w:val="00A06BEA"/>
    <w:rsid w:val="00A0758B"/>
    <w:rsid w:val="00A07CF8"/>
    <w:rsid w:val="00A1004B"/>
    <w:rsid w:val="00A107BC"/>
    <w:rsid w:val="00A10BD2"/>
    <w:rsid w:val="00A10EC7"/>
    <w:rsid w:val="00A11ACD"/>
    <w:rsid w:val="00A121EE"/>
    <w:rsid w:val="00A127C2"/>
    <w:rsid w:val="00A13779"/>
    <w:rsid w:val="00A141AB"/>
    <w:rsid w:val="00A146C9"/>
    <w:rsid w:val="00A14CE2"/>
    <w:rsid w:val="00A159F0"/>
    <w:rsid w:val="00A16504"/>
    <w:rsid w:val="00A1651A"/>
    <w:rsid w:val="00A17334"/>
    <w:rsid w:val="00A179E2"/>
    <w:rsid w:val="00A17B2A"/>
    <w:rsid w:val="00A20625"/>
    <w:rsid w:val="00A20760"/>
    <w:rsid w:val="00A216F6"/>
    <w:rsid w:val="00A21A56"/>
    <w:rsid w:val="00A21F7C"/>
    <w:rsid w:val="00A22014"/>
    <w:rsid w:val="00A22DB3"/>
    <w:rsid w:val="00A254A5"/>
    <w:rsid w:val="00A25784"/>
    <w:rsid w:val="00A26BEF"/>
    <w:rsid w:val="00A26CDC"/>
    <w:rsid w:val="00A26FE9"/>
    <w:rsid w:val="00A27009"/>
    <w:rsid w:val="00A2719D"/>
    <w:rsid w:val="00A277B9"/>
    <w:rsid w:val="00A27F03"/>
    <w:rsid w:val="00A30BF0"/>
    <w:rsid w:val="00A30CE9"/>
    <w:rsid w:val="00A32427"/>
    <w:rsid w:val="00A325BA"/>
    <w:rsid w:val="00A32906"/>
    <w:rsid w:val="00A3290F"/>
    <w:rsid w:val="00A33D0C"/>
    <w:rsid w:val="00A3404F"/>
    <w:rsid w:val="00A34057"/>
    <w:rsid w:val="00A34486"/>
    <w:rsid w:val="00A34B5E"/>
    <w:rsid w:val="00A34BEF"/>
    <w:rsid w:val="00A35682"/>
    <w:rsid w:val="00A3576D"/>
    <w:rsid w:val="00A35D00"/>
    <w:rsid w:val="00A36833"/>
    <w:rsid w:val="00A36A05"/>
    <w:rsid w:val="00A37160"/>
    <w:rsid w:val="00A375EE"/>
    <w:rsid w:val="00A37A63"/>
    <w:rsid w:val="00A37F71"/>
    <w:rsid w:val="00A37FDF"/>
    <w:rsid w:val="00A37FFB"/>
    <w:rsid w:val="00A40040"/>
    <w:rsid w:val="00A405D3"/>
    <w:rsid w:val="00A40B22"/>
    <w:rsid w:val="00A41BDC"/>
    <w:rsid w:val="00A42A3B"/>
    <w:rsid w:val="00A42B7C"/>
    <w:rsid w:val="00A431FF"/>
    <w:rsid w:val="00A43408"/>
    <w:rsid w:val="00A434A3"/>
    <w:rsid w:val="00A448D8"/>
    <w:rsid w:val="00A449AC"/>
    <w:rsid w:val="00A44D64"/>
    <w:rsid w:val="00A44E6B"/>
    <w:rsid w:val="00A457A3"/>
    <w:rsid w:val="00A45F36"/>
    <w:rsid w:val="00A47666"/>
    <w:rsid w:val="00A47FBD"/>
    <w:rsid w:val="00A50338"/>
    <w:rsid w:val="00A50A63"/>
    <w:rsid w:val="00A50B35"/>
    <w:rsid w:val="00A5101A"/>
    <w:rsid w:val="00A513F6"/>
    <w:rsid w:val="00A51C63"/>
    <w:rsid w:val="00A52FB7"/>
    <w:rsid w:val="00A530FE"/>
    <w:rsid w:val="00A5362B"/>
    <w:rsid w:val="00A53784"/>
    <w:rsid w:val="00A5406C"/>
    <w:rsid w:val="00A5413F"/>
    <w:rsid w:val="00A548C7"/>
    <w:rsid w:val="00A57344"/>
    <w:rsid w:val="00A5748F"/>
    <w:rsid w:val="00A5795C"/>
    <w:rsid w:val="00A57B8D"/>
    <w:rsid w:val="00A601AD"/>
    <w:rsid w:val="00A60430"/>
    <w:rsid w:val="00A60685"/>
    <w:rsid w:val="00A6091E"/>
    <w:rsid w:val="00A61B87"/>
    <w:rsid w:val="00A62575"/>
    <w:rsid w:val="00A62900"/>
    <w:rsid w:val="00A62BE3"/>
    <w:rsid w:val="00A62F89"/>
    <w:rsid w:val="00A63542"/>
    <w:rsid w:val="00A63B64"/>
    <w:rsid w:val="00A6627D"/>
    <w:rsid w:val="00A66563"/>
    <w:rsid w:val="00A67A1B"/>
    <w:rsid w:val="00A7000B"/>
    <w:rsid w:val="00A706C3"/>
    <w:rsid w:val="00A7099F"/>
    <w:rsid w:val="00A70EE2"/>
    <w:rsid w:val="00A71435"/>
    <w:rsid w:val="00A71F7C"/>
    <w:rsid w:val="00A730FA"/>
    <w:rsid w:val="00A7347F"/>
    <w:rsid w:val="00A73BC5"/>
    <w:rsid w:val="00A742C0"/>
    <w:rsid w:val="00A742E6"/>
    <w:rsid w:val="00A7487A"/>
    <w:rsid w:val="00A74F6D"/>
    <w:rsid w:val="00A752A8"/>
    <w:rsid w:val="00A759E6"/>
    <w:rsid w:val="00A76058"/>
    <w:rsid w:val="00A7638A"/>
    <w:rsid w:val="00A76644"/>
    <w:rsid w:val="00A76D14"/>
    <w:rsid w:val="00A76FE5"/>
    <w:rsid w:val="00A770F4"/>
    <w:rsid w:val="00A7716D"/>
    <w:rsid w:val="00A80E77"/>
    <w:rsid w:val="00A80EE5"/>
    <w:rsid w:val="00A814A6"/>
    <w:rsid w:val="00A82195"/>
    <w:rsid w:val="00A82707"/>
    <w:rsid w:val="00A82B77"/>
    <w:rsid w:val="00A831F2"/>
    <w:rsid w:val="00A83A3A"/>
    <w:rsid w:val="00A84377"/>
    <w:rsid w:val="00A85924"/>
    <w:rsid w:val="00A85B25"/>
    <w:rsid w:val="00A862B5"/>
    <w:rsid w:val="00A86414"/>
    <w:rsid w:val="00A866F4"/>
    <w:rsid w:val="00A86A2C"/>
    <w:rsid w:val="00A875DB"/>
    <w:rsid w:val="00A87B80"/>
    <w:rsid w:val="00A90CFA"/>
    <w:rsid w:val="00A91506"/>
    <w:rsid w:val="00A91532"/>
    <w:rsid w:val="00A919CF"/>
    <w:rsid w:val="00A91A18"/>
    <w:rsid w:val="00A920A6"/>
    <w:rsid w:val="00A9243D"/>
    <w:rsid w:val="00A92589"/>
    <w:rsid w:val="00A935DE"/>
    <w:rsid w:val="00A9513E"/>
    <w:rsid w:val="00A9536E"/>
    <w:rsid w:val="00A9562D"/>
    <w:rsid w:val="00A95AC9"/>
    <w:rsid w:val="00A96020"/>
    <w:rsid w:val="00A969AF"/>
    <w:rsid w:val="00A973B2"/>
    <w:rsid w:val="00AA0172"/>
    <w:rsid w:val="00AA1606"/>
    <w:rsid w:val="00AA1F1C"/>
    <w:rsid w:val="00AA3A2F"/>
    <w:rsid w:val="00AA3AC8"/>
    <w:rsid w:val="00AA3C86"/>
    <w:rsid w:val="00AA3E77"/>
    <w:rsid w:val="00AA4256"/>
    <w:rsid w:val="00AA4631"/>
    <w:rsid w:val="00AA493C"/>
    <w:rsid w:val="00AA4E5D"/>
    <w:rsid w:val="00AA51B2"/>
    <w:rsid w:val="00AA54E6"/>
    <w:rsid w:val="00AA5AE9"/>
    <w:rsid w:val="00AA6878"/>
    <w:rsid w:val="00AA6FE6"/>
    <w:rsid w:val="00AA717D"/>
    <w:rsid w:val="00AA730A"/>
    <w:rsid w:val="00AA7BFC"/>
    <w:rsid w:val="00AB0DB1"/>
    <w:rsid w:val="00AB1469"/>
    <w:rsid w:val="00AB2276"/>
    <w:rsid w:val="00AB23CD"/>
    <w:rsid w:val="00AB26A3"/>
    <w:rsid w:val="00AB26FD"/>
    <w:rsid w:val="00AB2D72"/>
    <w:rsid w:val="00AB2E10"/>
    <w:rsid w:val="00AB306D"/>
    <w:rsid w:val="00AB35D1"/>
    <w:rsid w:val="00AB39C2"/>
    <w:rsid w:val="00AB3DD6"/>
    <w:rsid w:val="00AB487A"/>
    <w:rsid w:val="00AC06D4"/>
    <w:rsid w:val="00AC0B6E"/>
    <w:rsid w:val="00AC0CAD"/>
    <w:rsid w:val="00AC12B7"/>
    <w:rsid w:val="00AC21EB"/>
    <w:rsid w:val="00AC258F"/>
    <w:rsid w:val="00AC398B"/>
    <w:rsid w:val="00AC398D"/>
    <w:rsid w:val="00AC3EBF"/>
    <w:rsid w:val="00AC438A"/>
    <w:rsid w:val="00AC4745"/>
    <w:rsid w:val="00AC476D"/>
    <w:rsid w:val="00AC47DC"/>
    <w:rsid w:val="00AC4F3F"/>
    <w:rsid w:val="00AC564D"/>
    <w:rsid w:val="00AC5A33"/>
    <w:rsid w:val="00AC5ED0"/>
    <w:rsid w:val="00AC652B"/>
    <w:rsid w:val="00AC67EB"/>
    <w:rsid w:val="00AC71F3"/>
    <w:rsid w:val="00AC74AB"/>
    <w:rsid w:val="00AD09EF"/>
    <w:rsid w:val="00AD0A31"/>
    <w:rsid w:val="00AD10FA"/>
    <w:rsid w:val="00AD1B7E"/>
    <w:rsid w:val="00AD1BCA"/>
    <w:rsid w:val="00AD1E5B"/>
    <w:rsid w:val="00AD2247"/>
    <w:rsid w:val="00AD25C5"/>
    <w:rsid w:val="00AD275B"/>
    <w:rsid w:val="00AD2EFE"/>
    <w:rsid w:val="00AD2F4B"/>
    <w:rsid w:val="00AD2F68"/>
    <w:rsid w:val="00AD2FE6"/>
    <w:rsid w:val="00AD4195"/>
    <w:rsid w:val="00AD5B37"/>
    <w:rsid w:val="00AD60BD"/>
    <w:rsid w:val="00AD617F"/>
    <w:rsid w:val="00AD784E"/>
    <w:rsid w:val="00AD7D11"/>
    <w:rsid w:val="00AE0273"/>
    <w:rsid w:val="00AE0A26"/>
    <w:rsid w:val="00AE0F0D"/>
    <w:rsid w:val="00AE10B2"/>
    <w:rsid w:val="00AE1202"/>
    <w:rsid w:val="00AE18D2"/>
    <w:rsid w:val="00AE1CD4"/>
    <w:rsid w:val="00AE1DA6"/>
    <w:rsid w:val="00AE209B"/>
    <w:rsid w:val="00AE24CF"/>
    <w:rsid w:val="00AE25D7"/>
    <w:rsid w:val="00AE26DB"/>
    <w:rsid w:val="00AE2E74"/>
    <w:rsid w:val="00AE3649"/>
    <w:rsid w:val="00AE4491"/>
    <w:rsid w:val="00AE52E2"/>
    <w:rsid w:val="00AE576A"/>
    <w:rsid w:val="00AE69A5"/>
    <w:rsid w:val="00AE7E46"/>
    <w:rsid w:val="00AE7F1F"/>
    <w:rsid w:val="00AE7FB4"/>
    <w:rsid w:val="00AF025E"/>
    <w:rsid w:val="00AF0593"/>
    <w:rsid w:val="00AF08E0"/>
    <w:rsid w:val="00AF0F31"/>
    <w:rsid w:val="00AF1760"/>
    <w:rsid w:val="00AF1F38"/>
    <w:rsid w:val="00AF23CB"/>
    <w:rsid w:val="00AF28ED"/>
    <w:rsid w:val="00AF2BB2"/>
    <w:rsid w:val="00AF2FA1"/>
    <w:rsid w:val="00AF3B40"/>
    <w:rsid w:val="00AF4050"/>
    <w:rsid w:val="00AF4E3C"/>
    <w:rsid w:val="00AF6864"/>
    <w:rsid w:val="00AF7299"/>
    <w:rsid w:val="00AF7F05"/>
    <w:rsid w:val="00B008DD"/>
    <w:rsid w:val="00B00D00"/>
    <w:rsid w:val="00B01D6F"/>
    <w:rsid w:val="00B01FE4"/>
    <w:rsid w:val="00B025C9"/>
    <w:rsid w:val="00B02D85"/>
    <w:rsid w:val="00B02E6A"/>
    <w:rsid w:val="00B02EF4"/>
    <w:rsid w:val="00B03334"/>
    <w:rsid w:val="00B03D33"/>
    <w:rsid w:val="00B03DFC"/>
    <w:rsid w:val="00B03EAF"/>
    <w:rsid w:val="00B03EB9"/>
    <w:rsid w:val="00B04C5C"/>
    <w:rsid w:val="00B04D22"/>
    <w:rsid w:val="00B04D86"/>
    <w:rsid w:val="00B05602"/>
    <w:rsid w:val="00B058A3"/>
    <w:rsid w:val="00B05B0B"/>
    <w:rsid w:val="00B06009"/>
    <w:rsid w:val="00B062CC"/>
    <w:rsid w:val="00B06834"/>
    <w:rsid w:val="00B06B59"/>
    <w:rsid w:val="00B072B8"/>
    <w:rsid w:val="00B074F3"/>
    <w:rsid w:val="00B1076C"/>
    <w:rsid w:val="00B10858"/>
    <w:rsid w:val="00B11D60"/>
    <w:rsid w:val="00B11F16"/>
    <w:rsid w:val="00B1304E"/>
    <w:rsid w:val="00B133D8"/>
    <w:rsid w:val="00B1454D"/>
    <w:rsid w:val="00B14792"/>
    <w:rsid w:val="00B147D7"/>
    <w:rsid w:val="00B1481D"/>
    <w:rsid w:val="00B14FEB"/>
    <w:rsid w:val="00B15227"/>
    <w:rsid w:val="00B152B3"/>
    <w:rsid w:val="00B157B0"/>
    <w:rsid w:val="00B15BD3"/>
    <w:rsid w:val="00B15C66"/>
    <w:rsid w:val="00B15FEE"/>
    <w:rsid w:val="00B16068"/>
    <w:rsid w:val="00B16C66"/>
    <w:rsid w:val="00B16C88"/>
    <w:rsid w:val="00B17718"/>
    <w:rsid w:val="00B17E87"/>
    <w:rsid w:val="00B17F02"/>
    <w:rsid w:val="00B20039"/>
    <w:rsid w:val="00B201A0"/>
    <w:rsid w:val="00B206B8"/>
    <w:rsid w:val="00B20DE9"/>
    <w:rsid w:val="00B20F8D"/>
    <w:rsid w:val="00B2153F"/>
    <w:rsid w:val="00B21A67"/>
    <w:rsid w:val="00B21CEE"/>
    <w:rsid w:val="00B220F2"/>
    <w:rsid w:val="00B2273D"/>
    <w:rsid w:val="00B227D5"/>
    <w:rsid w:val="00B229E3"/>
    <w:rsid w:val="00B236F6"/>
    <w:rsid w:val="00B23924"/>
    <w:rsid w:val="00B24052"/>
    <w:rsid w:val="00B2450A"/>
    <w:rsid w:val="00B2575D"/>
    <w:rsid w:val="00B26817"/>
    <w:rsid w:val="00B2697D"/>
    <w:rsid w:val="00B2752B"/>
    <w:rsid w:val="00B30712"/>
    <w:rsid w:val="00B30FDC"/>
    <w:rsid w:val="00B313B1"/>
    <w:rsid w:val="00B32B13"/>
    <w:rsid w:val="00B32C30"/>
    <w:rsid w:val="00B33284"/>
    <w:rsid w:val="00B332F6"/>
    <w:rsid w:val="00B33733"/>
    <w:rsid w:val="00B33D50"/>
    <w:rsid w:val="00B3481A"/>
    <w:rsid w:val="00B34A0B"/>
    <w:rsid w:val="00B3520B"/>
    <w:rsid w:val="00B35A98"/>
    <w:rsid w:val="00B369E3"/>
    <w:rsid w:val="00B36F3A"/>
    <w:rsid w:val="00B37686"/>
    <w:rsid w:val="00B4080D"/>
    <w:rsid w:val="00B40B4D"/>
    <w:rsid w:val="00B4145C"/>
    <w:rsid w:val="00B41930"/>
    <w:rsid w:val="00B41BA8"/>
    <w:rsid w:val="00B424C2"/>
    <w:rsid w:val="00B4254C"/>
    <w:rsid w:val="00B4270B"/>
    <w:rsid w:val="00B436D8"/>
    <w:rsid w:val="00B4539A"/>
    <w:rsid w:val="00B45469"/>
    <w:rsid w:val="00B45577"/>
    <w:rsid w:val="00B456F2"/>
    <w:rsid w:val="00B45B33"/>
    <w:rsid w:val="00B47766"/>
    <w:rsid w:val="00B5092C"/>
    <w:rsid w:val="00B513CE"/>
    <w:rsid w:val="00B524BE"/>
    <w:rsid w:val="00B527C3"/>
    <w:rsid w:val="00B531CB"/>
    <w:rsid w:val="00B5383E"/>
    <w:rsid w:val="00B54142"/>
    <w:rsid w:val="00B54151"/>
    <w:rsid w:val="00B547C0"/>
    <w:rsid w:val="00B54873"/>
    <w:rsid w:val="00B54C17"/>
    <w:rsid w:val="00B555A8"/>
    <w:rsid w:val="00B56CBB"/>
    <w:rsid w:val="00B56CD6"/>
    <w:rsid w:val="00B574BB"/>
    <w:rsid w:val="00B574E2"/>
    <w:rsid w:val="00B609E3"/>
    <w:rsid w:val="00B60B60"/>
    <w:rsid w:val="00B60C9B"/>
    <w:rsid w:val="00B61F3E"/>
    <w:rsid w:val="00B63250"/>
    <w:rsid w:val="00B632CA"/>
    <w:rsid w:val="00B638A9"/>
    <w:rsid w:val="00B638D0"/>
    <w:rsid w:val="00B63B18"/>
    <w:rsid w:val="00B64678"/>
    <w:rsid w:val="00B64AD8"/>
    <w:rsid w:val="00B65443"/>
    <w:rsid w:val="00B65563"/>
    <w:rsid w:val="00B65A09"/>
    <w:rsid w:val="00B662AB"/>
    <w:rsid w:val="00B66B36"/>
    <w:rsid w:val="00B66BC8"/>
    <w:rsid w:val="00B67A48"/>
    <w:rsid w:val="00B67B5F"/>
    <w:rsid w:val="00B67DDD"/>
    <w:rsid w:val="00B70914"/>
    <w:rsid w:val="00B71A02"/>
    <w:rsid w:val="00B7235A"/>
    <w:rsid w:val="00B7241F"/>
    <w:rsid w:val="00B733DE"/>
    <w:rsid w:val="00B73FF3"/>
    <w:rsid w:val="00B74145"/>
    <w:rsid w:val="00B753B5"/>
    <w:rsid w:val="00B754A2"/>
    <w:rsid w:val="00B75DA7"/>
    <w:rsid w:val="00B765A6"/>
    <w:rsid w:val="00B76B9F"/>
    <w:rsid w:val="00B77547"/>
    <w:rsid w:val="00B775EA"/>
    <w:rsid w:val="00B77783"/>
    <w:rsid w:val="00B77F2C"/>
    <w:rsid w:val="00B802A0"/>
    <w:rsid w:val="00B80481"/>
    <w:rsid w:val="00B81ADE"/>
    <w:rsid w:val="00B8209B"/>
    <w:rsid w:val="00B824A1"/>
    <w:rsid w:val="00B82516"/>
    <w:rsid w:val="00B83DFF"/>
    <w:rsid w:val="00B85126"/>
    <w:rsid w:val="00B86A28"/>
    <w:rsid w:val="00B86BDB"/>
    <w:rsid w:val="00B86D3F"/>
    <w:rsid w:val="00B86DCA"/>
    <w:rsid w:val="00B86F83"/>
    <w:rsid w:val="00B90C41"/>
    <w:rsid w:val="00B90F7C"/>
    <w:rsid w:val="00B9249B"/>
    <w:rsid w:val="00B925D8"/>
    <w:rsid w:val="00B929E2"/>
    <w:rsid w:val="00B92F3D"/>
    <w:rsid w:val="00B93260"/>
    <w:rsid w:val="00B93494"/>
    <w:rsid w:val="00B94321"/>
    <w:rsid w:val="00B94329"/>
    <w:rsid w:val="00B944C0"/>
    <w:rsid w:val="00B9457D"/>
    <w:rsid w:val="00B945DF"/>
    <w:rsid w:val="00B95093"/>
    <w:rsid w:val="00B9522A"/>
    <w:rsid w:val="00B95E31"/>
    <w:rsid w:val="00B963B9"/>
    <w:rsid w:val="00B96A6F"/>
    <w:rsid w:val="00B96C2A"/>
    <w:rsid w:val="00B96DE7"/>
    <w:rsid w:val="00B96E9F"/>
    <w:rsid w:val="00B9739F"/>
    <w:rsid w:val="00B97ADF"/>
    <w:rsid w:val="00BA004F"/>
    <w:rsid w:val="00BA0B81"/>
    <w:rsid w:val="00BA0FF3"/>
    <w:rsid w:val="00BA1480"/>
    <w:rsid w:val="00BA1CE4"/>
    <w:rsid w:val="00BA3967"/>
    <w:rsid w:val="00BA480F"/>
    <w:rsid w:val="00BA604A"/>
    <w:rsid w:val="00BA6554"/>
    <w:rsid w:val="00BA693A"/>
    <w:rsid w:val="00BB06DB"/>
    <w:rsid w:val="00BB111E"/>
    <w:rsid w:val="00BB1339"/>
    <w:rsid w:val="00BB1A12"/>
    <w:rsid w:val="00BB1A83"/>
    <w:rsid w:val="00BB2C9C"/>
    <w:rsid w:val="00BB3BC9"/>
    <w:rsid w:val="00BB3ECD"/>
    <w:rsid w:val="00BB48BD"/>
    <w:rsid w:val="00BB4AC2"/>
    <w:rsid w:val="00BB5044"/>
    <w:rsid w:val="00BB69B0"/>
    <w:rsid w:val="00BB71E9"/>
    <w:rsid w:val="00BB7779"/>
    <w:rsid w:val="00BB7B38"/>
    <w:rsid w:val="00BC07CA"/>
    <w:rsid w:val="00BC1132"/>
    <w:rsid w:val="00BC13B7"/>
    <w:rsid w:val="00BC1426"/>
    <w:rsid w:val="00BC168B"/>
    <w:rsid w:val="00BC16EC"/>
    <w:rsid w:val="00BC2556"/>
    <w:rsid w:val="00BC2E98"/>
    <w:rsid w:val="00BC3776"/>
    <w:rsid w:val="00BC39D8"/>
    <w:rsid w:val="00BC46FA"/>
    <w:rsid w:val="00BC49CA"/>
    <w:rsid w:val="00BC4BFD"/>
    <w:rsid w:val="00BC51BB"/>
    <w:rsid w:val="00BC5BCD"/>
    <w:rsid w:val="00BC5E1C"/>
    <w:rsid w:val="00BC62D1"/>
    <w:rsid w:val="00BC6405"/>
    <w:rsid w:val="00BC654F"/>
    <w:rsid w:val="00BC7157"/>
    <w:rsid w:val="00BC7B33"/>
    <w:rsid w:val="00BC7BF8"/>
    <w:rsid w:val="00BD0224"/>
    <w:rsid w:val="00BD08B6"/>
    <w:rsid w:val="00BD0A99"/>
    <w:rsid w:val="00BD1579"/>
    <w:rsid w:val="00BD2D7A"/>
    <w:rsid w:val="00BD2E72"/>
    <w:rsid w:val="00BD428C"/>
    <w:rsid w:val="00BD4813"/>
    <w:rsid w:val="00BD52DC"/>
    <w:rsid w:val="00BD5E8B"/>
    <w:rsid w:val="00BD5EF8"/>
    <w:rsid w:val="00BD6C9F"/>
    <w:rsid w:val="00BD7768"/>
    <w:rsid w:val="00BD7CD1"/>
    <w:rsid w:val="00BE03EF"/>
    <w:rsid w:val="00BE0408"/>
    <w:rsid w:val="00BE0C85"/>
    <w:rsid w:val="00BE1362"/>
    <w:rsid w:val="00BE1624"/>
    <w:rsid w:val="00BE17FA"/>
    <w:rsid w:val="00BE1A07"/>
    <w:rsid w:val="00BE1FA0"/>
    <w:rsid w:val="00BE1FBF"/>
    <w:rsid w:val="00BE23CD"/>
    <w:rsid w:val="00BE2B9E"/>
    <w:rsid w:val="00BE2C48"/>
    <w:rsid w:val="00BE2C93"/>
    <w:rsid w:val="00BE307B"/>
    <w:rsid w:val="00BE3D7E"/>
    <w:rsid w:val="00BE4619"/>
    <w:rsid w:val="00BE489A"/>
    <w:rsid w:val="00BE497B"/>
    <w:rsid w:val="00BE4EF6"/>
    <w:rsid w:val="00BE5162"/>
    <w:rsid w:val="00BE516C"/>
    <w:rsid w:val="00BE51AE"/>
    <w:rsid w:val="00BE65E6"/>
    <w:rsid w:val="00BE6D88"/>
    <w:rsid w:val="00BF0075"/>
    <w:rsid w:val="00BF06A6"/>
    <w:rsid w:val="00BF0AA4"/>
    <w:rsid w:val="00BF156D"/>
    <w:rsid w:val="00BF1A87"/>
    <w:rsid w:val="00BF232C"/>
    <w:rsid w:val="00BF24CE"/>
    <w:rsid w:val="00BF29D5"/>
    <w:rsid w:val="00BF30A0"/>
    <w:rsid w:val="00BF368E"/>
    <w:rsid w:val="00BF516C"/>
    <w:rsid w:val="00BF5B17"/>
    <w:rsid w:val="00BF681A"/>
    <w:rsid w:val="00BF6C06"/>
    <w:rsid w:val="00BF6DEB"/>
    <w:rsid w:val="00BF6F12"/>
    <w:rsid w:val="00BF75DF"/>
    <w:rsid w:val="00BF7636"/>
    <w:rsid w:val="00BF7897"/>
    <w:rsid w:val="00C0078B"/>
    <w:rsid w:val="00C018A9"/>
    <w:rsid w:val="00C01F64"/>
    <w:rsid w:val="00C02A31"/>
    <w:rsid w:val="00C02D17"/>
    <w:rsid w:val="00C03235"/>
    <w:rsid w:val="00C03276"/>
    <w:rsid w:val="00C03630"/>
    <w:rsid w:val="00C03BEE"/>
    <w:rsid w:val="00C0407C"/>
    <w:rsid w:val="00C0420F"/>
    <w:rsid w:val="00C066EE"/>
    <w:rsid w:val="00C06ED0"/>
    <w:rsid w:val="00C06F15"/>
    <w:rsid w:val="00C07D7E"/>
    <w:rsid w:val="00C1047E"/>
    <w:rsid w:val="00C104AD"/>
    <w:rsid w:val="00C113A1"/>
    <w:rsid w:val="00C1178D"/>
    <w:rsid w:val="00C11F5A"/>
    <w:rsid w:val="00C12C69"/>
    <w:rsid w:val="00C13347"/>
    <w:rsid w:val="00C1346C"/>
    <w:rsid w:val="00C14049"/>
    <w:rsid w:val="00C14E22"/>
    <w:rsid w:val="00C15AAE"/>
    <w:rsid w:val="00C16C22"/>
    <w:rsid w:val="00C16D8E"/>
    <w:rsid w:val="00C17D04"/>
    <w:rsid w:val="00C21139"/>
    <w:rsid w:val="00C2132C"/>
    <w:rsid w:val="00C216F0"/>
    <w:rsid w:val="00C23410"/>
    <w:rsid w:val="00C23867"/>
    <w:rsid w:val="00C2405C"/>
    <w:rsid w:val="00C25585"/>
    <w:rsid w:val="00C258C6"/>
    <w:rsid w:val="00C25F31"/>
    <w:rsid w:val="00C25FA5"/>
    <w:rsid w:val="00C302BC"/>
    <w:rsid w:val="00C30C4D"/>
    <w:rsid w:val="00C31CB2"/>
    <w:rsid w:val="00C342E5"/>
    <w:rsid w:val="00C3458C"/>
    <w:rsid w:val="00C34615"/>
    <w:rsid w:val="00C34B43"/>
    <w:rsid w:val="00C34BF9"/>
    <w:rsid w:val="00C352F4"/>
    <w:rsid w:val="00C3551D"/>
    <w:rsid w:val="00C35CF3"/>
    <w:rsid w:val="00C3601F"/>
    <w:rsid w:val="00C362F1"/>
    <w:rsid w:val="00C3670A"/>
    <w:rsid w:val="00C37185"/>
    <w:rsid w:val="00C375C5"/>
    <w:rsid w:val="00C3786A"/>
    <w:rsid w:val="00C37A62"/>
    <w:rsid w:val="00C400D9"/>
    <w:rsid w:val="00C406B8"/>
    <w:rsid w:val="00C40A3E"/>
    <w:rsid w:val="00C427CB"/>
    <w:rsid w:val="00C42E35"/>
    <w:rsid w:val="00C430D0"/>
    <w:rsid w:val="00C43659"/>
    <w:rsid w:val="00C43D96"/>
    <w:rsid w:val="00C451CE"/>
    <w:rsid w:val="00C45CFD"/>
    <w:rsid w:val="00C45E67"/>
    <w:rsid w:val="00C45FAD"/>
    <w:rsid w:val="00C476B2"/>
    <w:rsid w:val="00C47CA4"/>
    <w:rsid w:val="00C47FFD"/>
    <w:rsid w:val="00C50096"/>
    <w:rsid w:val="00C501C5"/>
    <w:rsid w:val="00C50335"/>
    <w:rsid w:val="00C505D5"/>
    <w:rsid w:val="00C50F65"/>
    <w:rsid w:val="00C5122F"/>
    <w:rsid w:val="00C51264"/>
    <w:rsid w:val="00C527E1"/>
    <w:rsid w:val="00C54B75"/>
    <w:rsid w:val="00C54DFD"/>
    <w:rsid w:val="00C551FB"/>
    <w:rsid w:val="00C55BD9"/>
    <w:rsid w:val="00C5660E"/>
    <w:rsid w:val="00C56780"/>
    <w:rsid w:val="00C56F5F"/>
    <w:rsid w:val="00C57054"/>
    <w:rsid w:val="00C575F0"/>
    <w:rsid w:val="00C57CB8"/>
    <w:rsid w:val="00C57FA8"/>
    <w:rsid w:val="00C604EC"/>
    <w:rsid w:val="00C618DE"/>
    <w:rsid w:val="00C61DAC"/>
    <w:rsid w:val="00C62AD6"/>
    <w:rsid w:val="00C63268"/>
    <w:rsid w:val="00C632E4"/>
    <w:rsid w:val="00C63408"/>
    <w:rsid w:val="00C635AB"/>
    <w:rsid w:val="00C6440B"/>
    <w:rsid w:val="00C648C3"/>
    <w:rsid w:val="00C64C57"/>
    <w:rsid w:val="00C6541E"/>
    <w:rsid w:val="00C658BB"/>
    <w:rsid w:val="00C65CF8"/>
    <w:rsid w:val="00C66044"/>
    <w:rsid w:val="00C66225"/>
    <w:rsid w:val="00C6687E"/>
    <w:rsid w:val="00C66DD9"/>
    <w:rsid w:val="00C671D2"/>
    <w:rsid w:val="00C67A4C"/>
    <w:rsid w:val="00C700C6"/>
    <w:rsid w:val="00C70DBA"/>
    <w:rsid w:val="00C718C3"/>
    <w:rsid w:val="00C72092"/>
    <w:rsid w:val="00C72706"/>
    <w:rsid w:val="00C731DB"/>
    <w:rsid w:val="00C73293"/>
    <w:rsid w:val="00C734B8"/>
    <w:rsid w:val="00C73EDF"/>
    <w:rsid w:val="00C7457B"/>
    <w:rsid w:val="00C745D5"/>
    <w:rsid w:val="00C7477F"/>
    <w:rsid w:val="00C7486F"/>
    <w:rsid w:val="00C74B48"/>
    <w:rsid w:val="00C74DF8"/>
    <w:rsid w:val="00C75062"/>
    <w:rsid w:val="00C76299"/>
    <w:rsid w:val="00C762B7"/>
    <w:rsid w:val="00C76388"/>
    <w:rsid w:val="00C76972"/>
    <w:rsid w:val="00C76FA6"/>
    <w:rsid w:val="00C776B0"/>
    <w:rsid w:val="00C7789C"/>
    <w:rsid w:val="00C77AE5"/>
    <w:rsid w:val="00C8068A"/>
    <w:rsid w:val="00C806CB"/>
    <w:rsid w:val="00C813E6"/>
    <w:rsid w:val="00C816DC"/>
    <w:rsid w:val="00C817DE"/>
    <w:rsid w:val="00C8195B"/>
    <w:rsid w:val="00C82AEF"/>
    <w:rsid w:val="00C82B0E"/>
    <w:rsid w:val="00C8327E"/>
    <w:rsid w:val="00C8404C"/>
    <w:rsid w:val="00C854F2"/>
    <w:rsid w:val="00C85B8A"/>
    <w:rsid w:val="00C85E6C"/>
    <w:rsid w:val="00C8601C"/>
    <w:rsid w:val="00C860D9"/>
    <w:rsid w:val="00C863B4"/>
    <w:rsid w:val="00C87362"/>
    <w:rsid w:val="00C87879"/>
    <w:rsid w:val="00C87F69"/>
    <w:rsid w:val="00C903B0"/>
    <w:rsid w:val="00C9170F"/>
    <w:rsid w:val="00C91BF0"/>
    <w:rsid w:val="00C9253E"/>
    <w:rsid w:val="00C92DE0"/>
    <w:rsid w:val="00C9380F"/>
    <w:rsid w:val="00C944E7"/>
    <w:rsid w:val="00C94698"/>
    <w:rsid w:val="00C94896"/>
    <w:rsid w:val="00C97DE7"/>
    <w:rsid w:val="00C97E1B"/>
    <w:rsid w:val="00CA1448"/>
    <w:rsid w:val="00CA17C8"/>
    <w:rsid w:val="00CA1E95"/>
    <w:rsid w:val="00CA1F2D"/>
    <w:rsid w:val="00CA1F57"/>
    <w:rsid w:val="00CA2B85"/>
    <w:rsid w:val="00CA3379"/>
    <w:rsid w:val="00CA3723"/>
    <w:rsid w:val="00CA3E72"/>
    <w:rsid w:val="00CA47DE"/>
    <w:rsid w:val="00CA4FD9"/>
    <w:rsid w:val="00CA65BC"/>
    <w:rsid w:val="00CA676B"/>
    <w:rsid w:val="00CA6963"/>
    <w:rsid w:val="00CA6EFE"/>
    <w:rsid w:val="00CA7450"/>
    <w:rsid w:val="00CA76B1"/>
    <w:rsid w:val="00CA78C2"/>
    <w:rsid w:val="00CA7B5B"/>
    <w:rsid w:val="00CA7D90"/>
    <w:rsid w:val="00CA7E6C"/>
    <w:rsid w:val="00CB0003"/>
    <w:rsid w:val="00CB04C5"/>
    <w:rsid w:val="00CB0CDD"/>
    <w:rsid w:val="00CB1E19"/>
    <w:rsid w:val="00CB222D"/>
    <w:rsid w:val="00CB25BE"/>
    <w:rsid w:val="00CB2B68"/>
    <w:rsid w:val="00CB404A"/>
    <w:rsid w:val="00CB4745"/>
    <w:rsid w:val="00CB49D2"/>
    <w:rsid w:val="00CB54B5"/>
    <w:rsid w:val="00CB5721"/>
    <w:rsid w:val="00CB5748"/>
    <w:rsid w:val="00CB59C8"/>
    <w:rsid w:val="00CB5B24"/>
    <w:rsid w:val="00CB6404"/>
    <w:rsid w:val="00CB66B4"/>
    <w:rsid w:val="00CB6A8D"/>
    <w:rsid w:val="00CB7DE3"/>
    <w:rsid w:val="00CC0750"/>
    <w:rsid w:val="00CC0E20"/>
    <w:rsid w:val="00CC1120"/>
    <w:rsid w:val="00CC11E2"/>
    <w:rsid w:val="00CC1702"/>
    <w:rsid w:val="00CC1816"/>
    <w:rsid w:val="00CC1C43"/>
    <w:rsid w:val="00CC4916"/>
    <w:rsid w:val="00CC4FA5"/>
    <w:rsid w:val="00CC5CA5"/>
    <w:rsid w:val="00CC69CE"/>
    <w:rsid w:val="00CC6C93"/>
    <w:rsid w:val="00CC6E5A"/>
    <w:rsid w:val="00CC721E"/>
    <w:rsid w:val="00CC7BF1"/>
    <w:rsid w:val="00CD0431"/>
    <w:rsid w:val="00CD044A"/>
    <w:rsid w:val="00CD0535"/>
    <w:rsid w:val="00CD0B60"/>
    <w:rsid w:val="00CD1400"/>
    <w:rsid w:val="00CD166A"/>
    <w:rsid w:val="00CD1951"/>
    <w:rsid w:val="00CD1CF3"/>
    <w:rsid w:val="00CD1E74"/>
    <w:rsid w:val="00CD224B"/>
    <w:rsid w:val="00CD2F21"/>
    <w:rsid w:val="00CD3706"/>
    <w:rsid w:val="00CD3A68"/>
    <w:rsid w:val="00CD4587"/>
    <w:rsid w:val="00CD464C"/>
    <w:rsid w:val="00CD465C"/>
    <w:rsid w:val="00CD4713"/>
    <w:rsid w:val="00CD5810"/>
    <w:rsid w:val="00CD685D"/>
    <w:rsid w:val="00CD6AA4"/>
    <w:rsid w:val="00CD6B3D"/>
    <w:rsid w:val="00CD6CFA"/>
    <w:rsid w:val="00CD76CA"/>
    <w:rsid w:val="00CD76F5"/>
    <w:rsid w:val="00CD790E"/>
    <w:rsid w:val="00CE005E"/>
    <w:rsid w:val="00CE013A"/>
    <w:rsid w:val="00CE0443"/>
    <w:rsid w:val="00CE04A6"/>
    <w:rsid w:val="00CE0FF3"/>
    <w:rsid w:val="00CE210D"/>
    <w:rsid w:val="00CE23C0"/>
    <w:rsid w:val="00CE2A2E"/>
    <w:rsid w:val="00CE2F8A"/>
    <w:rsid w:val="00CE3232"/>
    <w:rsid w:val="00CE384D"/>
    <w:rsid w:val="00CE4176"/>
    <w:rsid w:val="00CE48DF"/>
    <w:rsid w:val="00CE5361"/>
    <w:rsid w:val="00CE5660"/>
    <w:rsid w:val="00CE5CBA"/>
    <w:rsid w:val="00CE5CF6"/>
    <w:rsid w:val="00CE60DC"/>
    <w:rsid w:val="00CE6344"/>
    <w:rsid w:val="00CE6BD3"/>
    <w:rsid w:val="00CE7167"/>
    <w:rsid w:val="00CF0156"/>
    <w:rsid w:val="00CF0553"/>
    <w:rsid w:val="00CF25F5"/>
    <w:rsid w:val="00CF3C32"/>
    <w:rsid w:val="00CF3D45"/>
    <w:rsid w:val="00CF42DD"/>
    <w:rsid w:val="00CF4481"/>
    <w:rsid w:val="00CF4FA2"/>
    <w:rsid w:val="00CF52E6"/>
    <w:rsid w:val="00CF7796"/>
    <w:rsid w:val="00CF7B49"/>
    <w:rsid w:val="00D0007B"/>
    <w:rsid w:val="00D002D2"/>
    <w:rsid w:val="00D017B6"/>
    <w:rsid w:val="00D01EDB"/>
    <w:rsid w:val="00D021AE"/>
    <w:rsid w:val="00D028BF"/>
    <w:rsid w:val="00D02D42"/>
    <w:rsid w:val="00D03658"/>
    <w:rsid w:val="00D037D5"/>
    <w:rsid w:val="00D0471C"/>
    <w:rsid w:val="00D05BC4"/>
    <w:rsid w:val="00D070B3"/>
    <w:rsid w:val="00D07302"/>
    <w:rsid w:val="00D07359"/>
    <w:rsid w:val="00D07B88"/>
    <w:rsid w:val="00D07BFF"/>
    <w:rsid w:val="00D07CAA"/>
    <w:rsid w:val="00D103DD"/>
    <w:rsid w:val="00D1075A"/>
    <w:rsid w:val="00D11339"/>
    <w:rsid w:val="00D11F59"/>
    <w:rsid w:val="00D13306"/>
    <w:rsid w:val="00D1389F"/>
    <w:rsid w:val="00D1537A"/>
    <w:rsid w:val="00D15E6C"/>
    <w:rsid w:val="00D15F4D"/>
    <w:rsid w:val="00D16721"/>
    <w:rsid w:val="00D16A36"/>
    <w:rsid w:val="00D16B52"/>
    <w:rsid w:val="00D203A6"/>
    <w:rsid w:val="00D20F1E"/>
    <w:rsid w:val="00D21FEB"/>
    <w:rsid w:val="00D223BA"/>
    <w:rsid w:val="00D2300D"/>
    <w:rsid w:val="00D24384"/>
    <w:rsid w:val="00D24747"/>
    <w:rsid w:val="00D24D06"/>
    <w:rsid w:val="00D24EBB"/>
    <w:rsid w:val="00D260D3"/>
    <w:rsid w:val="00D2674F"/>
    <w:rsid w:val="00D3098E"/>
    <w:rsid w:val="00D30CAF"/>
    <w:rsid w:val="00D32DE4"/>
    <w:rsid w:val="00D332C2"/>
    <w:rsid w:val="00D33548"/>
    <w:rsid w:val="00D337CF"/>
    <w:rsid w:val="00D33CBB"/>
    <w:rsid w:val="00D34383"/>
    <w:rsid w:val="00D346FB"/>
    <w:rsid w:val="00D35A1C"/>
    <w:rsid w:val="00D35AB9"/>
    <w:rsid w:val="00D37C2E"/>
    <w:rsid w:val="00D405AA"/>
    <w:rsid w:val="00D40770"/>
    <w:rsid w:val="00D40D62"/>
    <w:rsid w:val="00D40E28"/>
    <w:rsid w:val="00D41698"/>
    <w:rsid w:val="00D41B3E"/>
    <w:rsid w:val="00D428F7"/>
    <w:rsid w:val="00D42A25"/>
    <w:rsid w:val="00D42F5F"/>
    <w:rsid w:val="00D432F7"/>
    <w:rsid w:val="00D4341B"/>
    <w:rsid w:val="00D434F7"/>
    <w:rsid w:val="00D43B8D"/>
    <w:rsid w:val="00D44292"/>
    <w:rsid w:val="00D4593C"/>
    <w:rsid w:val="00D466F5"/>
    <w:rsid w:val="00D46E81"/>
    <w:rsid w:val="00D47736"/>
    <w:rsid w:val="00D477DA"/>
    <w:rsid w:val="00D47E57"/>
    <w:rsid w:val="00D5080E"/>
    <w:rsid w:val="00D5081D"/>
    <w:rsid w:val="00D510F3"/>
    <w:rsid w:val="00D512AB"/>
    <w:rsid w:val="00D51575"/>
    <w:rsid w:val="00D51CAE"/>
    <w:rsid w:val="00D51CF2"/>
    <w:rsid w:val="00D5342A"/>
    <w:rsid w:val="00D54CBC"/>
    <w:rsid w:val="00D54D0D"/>
    <w:rsid w:val="00D54DA3"/>
    <w:rsid w:val="00D54FAF"/>
    <w:rsid w:val="00D551E2"/>
    <w:rsid w:val="00D552A8"/>
    <w:rsid w:val="00D55966"/>
    <w:rsid w:val="00D55E75"/>
    <w:rsid w:val="00D56499"/>
    <w:rsid w:val="00D56ADD"/>
    <w:rsid w:val="00D57E5A"/>
    <w:rsid w:val="00D61049"/>
    <w:rsid w:val="00D61367"/>
    <w:rsid w:val="00D61810"/>
    <w:rsid w:val="00D62211"/>
    <w:rsid w:val="00D624DB"/>
    <w:rsid w:val="00D625F8"/>
    <w:rsid w:val="00D632C3"/>
    <w:rsid w:val="00D63628"/>
    <w:rsid w:val="00D63930"/>
    <w:rsid w:val="00D6403F"/>
    <w:rsid w:val="00D64519"/>
    <w:rsid w:val="00D645CE"/>
    <w:rsid w:val="00D6494B"/>
    <w:rsid w:val="00D64B01"/>
    <w:rsid w:val="00D64E72"/>
    <w:rsid w:val="00D65089"/>
    <w:rsid w:val="00D66A04"/>
    <w:rsid w:val="00D674F2"/>
    <w:rsid w:val="00D67865"/>
    <w:rsid w:val="00D7029D"/>
    <w:rsid w:val="00D707AD"/>
    <w:rsid w:val="00D70929"/>
    <w:rsid w:val="00D70FD6"/>
    <w:rsid w:val="00D7119E"/>
    <w:rsid w:val="00D72174"/>
    <w:rsid w:val="00D7262C"/>
    <w:rsid w:val="00D7350C"/>
    <w:rsid w:val="00D74553"/>
    <w:rsid w:val="00D7493B"/>
    <w:rsid w:val="00D749C6"/>
    <w:rsid w:val="00D75C4D"/>
    <w:rsid w:val="00D75E95"/>
    <w:rsid w:val="00D763F6"/>
    <w:rsid w:val="00D76E93"/>
    <w:rsid w:val="00D77FE9"/>
    <w:rsid w:val="00D80F4C"/>
    <w:rsid w:val="00D81088"/>
    <w:rsid w:val="00D817D8"/>
    <w:rsid w:val="00D81A80"/>
    <w:rsid w:val="00D81D9C"/>
    <w:rsid w:val="00D8282B"/>
    <w:rsid w:val="00D83466"/>
    <w:rsid w:val="00D83C6D"/>
    <w:rsid w:val="00D8452C"/>
    <w:rsid w:val="00D84E5A"/>
    <w:rsid w:val="00D8590C"/>
    <w:rsid w:val="00D86029"/>
    <w:rsid w:val="00D86A1B"/>
    <w:rsid w:val="00D86CB3"/>
    <w:rsid w:val="00D86CEC"/>
    <w:rsid w:val="00D8701F"/>
    <w:rsid w:val="00D87196"/>
    <w:rsid w:val="00D8734F"/>
    <w:rsid w:val="00D87785"/>
    <w:rsid w:val="00D877B2"/>
    <w:rsid w:val="00D87C6A"/>
    <w:rsid w:val="00D90D27"/>
    <w:rsid w:val="00D924A8"/>
    <w:rsid w:val="00D92CD9"/>
    <w:rsid w:val="00D940B6"/>
    <w:rsid w:val="00D9482E"/>
    <w:rsid w:val="00D94890"/>
    <w:rsid w:val="00D9529F"/>
    <w:rsid w:val="00D95412"/>
    <w:rsid w:val="00D959AF"/>
    <w:rsid w:val="00D960D6"/>
    <w:rsid w:val="00D96203"/>
    <w:rsid w:val="00D965D3"/>
    <w:rsid w:val="00D97584"/>
    <w:rsid w:val="00DA0000"/>
    <w:rsid w:val="00DA0E08"/>
    <w:rsid w:val="00DA170E"/>
    <w:rsid w:val="00DA1D5C"/>
    <w:rsid w:val="00DA26F9"/>
    <w:rsid w:val="00DA2D73"/>
    <w:rsid w:val="00DA3344"/>
    <w:rsid w:val="00DA41CA"/>
    <w:rsid w:val="00DA4983"/>
    <w:rsid w:val="00DA4990"/>
    <w:rsid w:val="00DA534C"/>
    <w:rsid w:val="00DA6253"/>
    <w:rsid w:val="00DA6489"/>
    <w:rsid w:val="00DA652F"/>
    <w:rsid w:val="00DA7EE6"/>
    <w:rsid w:val="00DB0A62"/>
    <w:rsid w:val="00DB0A88"/>
    <w:rsid w:val="00DB0B65"/>
    <w:rsid w:val="00DB1111"/>
    <w:rsid w:val="00DB1930"/>
    <w:rsid w:val="00DB1C13"/>
    <w:rsid w:val="00DB2371"/>
    <w:rsid w:val="00DB2E46"/>
    <w:rsid w:val="00DB4548"/>
    <w:rsid w:val="00DB4616"/>
    <w:rsid w:val="00DB5230"/>
    <w:rsid w:val="00DB5AFB"/>
    <w:rsid w:val="00DB6B83"/>
    <w:rsid w:val="00DB6D7C"/>
    <w:rsid w:val="00DB754E"/>
    <w:rsid w:val="00DB7882"/>
    <w:rsid w:val="00DB7E71"/>
    <w:rsid w:val="00DC0D16"/>
    <w:rsid w:val="00DC0FCB"/>
    <w:rsid w:val="00DC107B"/>
    <w:rsid w:val="00DC12E1"/>
    <w:rsid w:val="00DC12E8"/>
    <w:rsid w:val="00DC1A7D"/>
    <w:rsid w:val="00DC1F16"/>
    <w:rsid w:val="00DC206C"/>
    <w:rsid w:val="00DC219F"/>
    <w:rsid w:val="00DC23E2"/>
    <w:rsid w:val="00DC2D12"/>
    <w:rsid w:val="00DC3A09"/>
    <w:rsid w:val="00DC3CFC"/>
    <w:rsid w:val="00DC3F94"/>
    <w:rsid w:val="00DC4000"/>
    <w:rsid w:val="00DC433B"/>
    <w:rsid w:val="00DC57FD"/>
    <w:rsid w:val="00DC58B1"/>
    <w:rsid w:val="00DC5C15"/>
    <w:rsid w:val="00DC7B32"/>
    <w:rsid w:val="00DC7BA9"/>
    <w:rsid w:val="00DC7DC5"/>
    <w:rsid w:val="00DD028C"/>
    <w:rsid w:val="00DD06F5"/>
    <w:rsid w:val="00DD160C"/>
    <w:rsid w:val="00DD1852"/>
    <w:rsid w:val="00DD1F7D"/>
    <w:rsid w:val="00DD3306"/>
    <w:rsid w:val="00DD3FA4"/>
    <w:rsid w:val="00DD421F"/>
    <w:rsid w:val="00DD440A"/>
    <w:rsid w:val="00DD46C7"/>
    <w:rsid w:val="00DD4838"/>
    <w:rsid w:val="00DD4870"/>
    <w:rsid w:val="00DD54FF"/>
    <w:rsid w:val="00DD57B2"/>
    <w:rsid w:val="00DD5BC7"/>
    <w:rsid w:val="00DD63DB"/>
    <w:rsid w:val="00DD6B64"/>
    <w:rsid w:val="00DD70D8"/>
    <w:rsid w:val="00DD78D4"/>
    <w:rsid w:val="00DE0721"/>
    <w:rsid w:val="00DE1A98"/>
    <w:rsid w:val="00DE2683"/>
    <w:rsid w:val="00DE37C4"/>
    <w:rsid w:val="00DE39AA"/>
    <w:rsid w:val="00DE4614"/>
    <w:rsid w:val="00DE47B6"/>
    <w:rsid w:val="00DE52AC"/>
    <w:rsid w:val="00DE5AF8"/>
    <w:rsid w:val="00DE5DEE"/>
    <w:rsid w:val="00DE653D"/>
    <w:rsid w:val="00DE65CB"/>
    <w:rsid w:val="00DE70E8"/>
    <w:rsid w:val="00DE7144"/>
    <w:rsid w:val="00DE7C01"/>
    <w:rsid w:val="00DF0527"/>
    <w:rsid w:val="00DF08D8"/>
    <w:rsid w:val="00DF0C07"/>
    <w:rsid w:val="00DF146F"/>
    <w:rsid w:val="00DF16DD"/>
    <w:rsid w:val="00DF1925"/>
    <w:rsid w:val="00DF19D7"/>
    <w:rsid w:val="00DF25D5"/>
    <w:rsid w:val="00DF36AB"/>
    <w:rsid w:val="00DF4D78"/>
    <w:rsid w:val="00DF55BF"/>
    <w:rsid w:val="00DF5D8E"/>
    <w:rsid w:val="00DF6511"/>
    <w:rsid w:val="00DF66DD"/>
    <w:rsid w:val="00DF69DC"/>
    <w:rsid w:val="00DF78F8"/>
    <w:rsid w:val="00DF7D75"/>
    <w:rsid w:val="00DF7F78"/>
    <w:rsid w:val="00E00959"/>
    <w:rsid w:val="00E013C5"/>
    <w:rsid w:val="00E01D4F"/>
    <w:rsid w:val="00E02193"/>
    <w:rsid w:val="00E0247F"/>
    <w:rsid w:val="00E02B19"/>
    <w:rsid w:val="00E02CBB"/>
    <w:rsid w:val="00E02F25"/>
    <w:rsid w:val="00E03BD6"/>
    <w:rsid w:val="00E0492C"/>
    <w:rsid w:val="00E05A05"/>
    <w:rsid w:val="00E05B98"/>
    <w:rsid w:val="00E05BED"/>
    <w:rsid w:val="00E05C60"/>
    <w:rsid w:val="00E063AD"/>
    <w:rsid w:val="00E06F42"/>
    <w:rsid w:val="00E071F7"/>
    <w:rsid w:val="00E076B8"/>
    <w:rsid w:val="00E10017"/>
    <w:rsid w:val="00E10A0C"/>
    <w:rsid w:val="00E10AFA"/>
    <w:rsid w:val="00E10BD8"/>
    <w:rsid w:val="00E10E6C"/>
    <w:rsid w:val="00E11128"/>
    <w:rsid w:val="00E125AF"/>
    <w:rsid w:val="00E128CF"/>
    <w:rsid w:val="00E12EEE"/>
    <w:rsid w:val="00E1392C"/>
    <w:rsid w:val="00E13B51"/>
    <w:rsid w:val="00E1404F"/>
    <w:rsid w:val="00E15A05"/>
    <w:rsid w:val="00E15C9D"/>
    <w:rsid w:val="00E15D3F"/>
    <w:rsid w:val="00E15FC4"/>
    <w:rsid w:val="00E16B57"/>
    <w:rsid w:val="00E179A2"/>
    <w:rsid w:val="00E20979"/>
    <w:rsid w:val="00E20BDE"/>
    <w:rsid w:val="00E20D5A"/>
    <w:rsid w:val="00E21F89"/>
    <w:rsid w:val="00E22154"/>
    <w:rsid w:val="00E225B7"/>
    <w:rsid w:val="00E22C42"/>
    <w:rsid w:val="00E23434"/>
    <w:rsid w:val="00E237B2"/>
    <w:rsid w:val="00E23CA8"/>
    <w:rsid w:val="00E24897"/>
    <w:rsid w:val="00E2508C"/>
    <w:rsid w:val="00E25657"/>
    <w:rsid w:val="00E257B5"/>
    <w:rsid w:val="00E25878"/>
    <w:rsid w:val="00E258A2"/>
    <w:rsid w:val="00E2594E"/>
    <w:rsid w:val="00E25FF5"/>
    <w:rsid w:val="00E26111"/>
    <w:rsid w:val="00E2621A"/>
    <w:rsid w:val="00E26776"/>
    <w:rsid w:val="00E26D14"/>
    <w:rsid w:val="00E26F54"/>
    <w:rsid w:val="00E270D4"/>
    <w:rsid w:val="00E273E8"/>
    <w:rsid w:val="00E31106"/>
    <w:rsid w:val="00E3138C"/>
    <w:rsid w:val="00E31604"/>
    <w:rsid w:val="00E31AE4"/>
    <w:rsid w:val="00E31BA1"/>
    <w:rsid w:val="00E31E98"/>
    <w:rsid w:val="00E31FE6"/>
    <w:rsid w:val="00E3217F"/>
    <w:rsid w:val="00E348F5"/>
    <w:rsid w:val="00E34946"/>
    <w:rsid w:val="00E34A78"/>
    <w:rsid w:val="00E34EF4"/>
    <w:rsid w:val="00E357B6"/>
    <w:rsid w:val="00E35AC2"/>
    <w:rsid w:val="00E360E2"/>
    <w:rsid w:val="00E372C6"/>
    <w:rsid w:val="00E41660"/>
    <w:rsid w:val="00E41690"/>
    <w:rsid w:val="00E41897"/>
    <w:rsid w:val="00E41E09"/>
    <w:rsid w:val="00E42102"/>
    <w:rsid w:val="00E42355"/>
    <w:rsid w:val="00E42633"/>
    <w:rsid w:val="00E42F26"/>
    <w:rsid w:val="00E4426B"/>
    <w:rsid w:val="00E44867"/>
    <w:rsid w:val="00E44DC8"/>
    <w:rsid w:val="00E46FDC"/>
    <w:rsid w:val="00E470CB"/>
    <w:rsid w:val="00E475AB"/>
    <w:rsid w:val="00E47AFB"/>
    <w:rsid w:val="00E50007"/>
    <w:rsid w:val="00E50812"/>
    <w:rsid w:val="00E51036"/>
    <w:rsid w:val="00E51443"/>
    <w:rsid w:val="00E533A1"/>
    <w:rsid w:val="00E53E76"/>
    <w:rsid w:val="00E5518C"/>
    <w:rsid w:val="00E5547C"/>
    <w:rsid w:val="00E557D7"/>
    <w:rsid w:val="00E558FB"/>
    <w:rsid w:val="00E55F4A"/>
    <w:rsid w:val="00E56919"/>
    <w:rsid w:val="00E56DB9"/>
    <w:rsid w:val="00E57812"/>
    <w:rsid w:val="00E57C9B"/>
    <w:rsid w:val="00E60295"/>
    <w:rsid w:val="00E6043C"/>
    <w:rsid w:val="00E609A8"/>
    <w:rsid w:val="00E61B18"/>
    <w:rsid w:val="00E627AC"/>
    <w:rsid w:val="00E62F16"/>
    <w:rsid w:val="00E63E04"/>
    <w:rsid w:val="00E64114"/>
    <w:rsid w:val="00E64E93"/>
    <w:rsid w:val="00E65633"/>
    <w:rsid w:val="00E65820"/>
    <w:rsid w:val="00E66F4B"/>
    <w:rsid w:val="00E671A1"/>
    <w:rsid w:val="00E675AF"/>
    <w:rsid w:val="00E6799F"/>
    <w:rsid w:val="00E70C0E"/>
    <w:rsid w:val="00E714DD"/>
    <w:rsid w:val="00E71712"/>
    <w:rsid w:val="00E7183E"/>
    <w:rsid w:val="00E71CEE"/>
    <w:rsid w:val="00E71D1D"/>
    <w:rsid w:val="00E728A1"/>
    <w:rsid w:val="00E7377B"/>
    <w:rsid w:val="00E7377F"/>
    <w:rsid w:val="00E738C8"/>
    <w:rsid w:val="00E73BDA"/>
    <w:rsid w:val="00E755D1"/>
    <w:rsid w:val="00E75A6A"/>
    <w:rsid w:val="00E76324"/>
    <w:rsid w:val="00E76AC9"/>
    <w:rsid w:val="00E76C52"/>
    <w:rsid w:val="00E774C8"/>
    <w:rsid w:val="00E775F5"/>
    <w:rsid w:val="00E77E13"/>
    <w:rsid w:val="00E815B3"/>
    <w:rsid w:val="00E81FC3"/>
    <w:rsid w:val="00E82EC4"/>
    <w:rsid w:val="00E83251"/>
    <w:rsid w:val="00E833E5"/>
    <w:rsid w:val="00E83D60"/>
    <w:rsid w:val="00E84604"/>
    <w:rsid w:val="00E85847"/>
    <w:rsid w:val="00E8655D"/>
    <w:rsid w:val="00E8680C"/>
    <w:rsid w:val="00E873D4"/>
    <w:rsid w:val="00E87ED2"/>
    <w:rsid w:val="00E90EA2"/>
    <w:rsid w:val="00E91595"/>
    <w:rsid w:val="00E917F0"/>
    <w:rsid w:val="00E92316"/>
    <w:rsid w:val="00E92499"/>
    <w:rsid w:val="00E92FD0"/>
    <w:rsid w:val="00E93432"/>
    <w:rsid w:val="00E93593"/>
    <w:rsid w:val="00E94A25"/>
    <w:rsid w:val="00E94B3C"/>
    <w:rsid w:val="00E94C3C"/>
    <w:rsid w:val="00E94C91"/>
    <w:rsid w:val="00E95C11"/>
    <w:rsid w:val="00E95C45"/>
    <w:rsid w:val="00E96B74"/>
    <w:rsid w:val="00E96B81"/>
    <w:rsid w:val="00E96D12"/>
    <w:rsid w:val="00E96DC8"/>
    <w:rsid w:val="00E96EF4"/>
    <w:rsid w:val="00E97AC6"/>
    <w:rsid w:val="00E97E3B"/>
    <w:rsid w:val="00EA07B7"/>
    <w:rsid w:val="00EA1013"/>
    <w:rsid w:val="00EA190E"/>
    <w:rsid w:val="00EA19C2"/>
    <w:rsid w:val="00EA19CA"/>
    <w:rsid w:val="00EA2557"/>
    <w:rsid w:val="00EA292A"/>
    <w:rsid w:val="00EA2C37"/>
    <w:rsid w:val="00EA2DFF"/>
    <w:rsid w:val="00EA2EC3"/>
    <w:rsid w:val="00EA35A6"/>
    <w:rsid w:val="00EA382D"/>
    <w:rsid w:val="00EA3C45"/>
    <w:rsid w:val="00EA4A07"/>
    <w:rsid w:val="00EA51FA"/>
    <w:rsid w:val="00EA5E93"/>
    <w:rsid w:val="00EA68E2"/>
    <w:rsid w:val="00EA7886"/>
    <w:rsid w:val="00EA7E40"/>
    <w:rsid w:val="00EB0927"/>
    <w:rsid w:val="00EB13B9"/>
    <w:rsid w:val="00EB31DA"/>
    <w:rsid w:val="00EB3B25"/>
    <w:rsid w:val="00EB3B9D"/>
    <w:rsid w:val="00EB48DD"/>
    <w:rsid w:val="00EB4A12"/>
    <w:rsid w:val="00EB554A"/>
    <w:rsid w:val="00EB5C62"/>
    <w:rsid w:val="00EB5D00"/>
    <w:rsid w:val="00EB6420"/>
    <w:rsid w:val="00EB65DA"/>
    <w:rsid w:val="00EB6906"/>
    <w:rsid w:val="00EB6A11"/>
    <w:rsid w:val="00EB7757"/>
    <w:rsid w:val="00EB7B95"/>
    <w:rsid w:val="00EC042D"/>
    <w:rsid w:val="00EC0B5D"/>
    <w:rsid w:val="00EC0D6E"/>
    <w:rsid w:val="00EC0F42"/>
    <w:rsid w:val="00EC1A73"/>
    <w:rsid w:val="00EC1E8A"/>
    <w:rsid w:val="00EC2291"/>
    <w:rsid w:val="00EC277C"/>
    <w:rsid w:val="00EC3125"/>
    <w:rsid w:val="00EC38B3"/>
    <w:rsid w:val="00EC38FA"/>
    <w:rsid w:val="00EC3985"/>
    <w:rsid w:val="00EC3E81"/>
    <w:rsid w:val="00EC41D6"/>
    <w:rsid w:val="00EC45C6"/>
    <w:rsid w:val="00EC4613"/>
    <w:rsid w:val="00EC47DE"/>
    <w:rsid w:val="00EC4DA7"/>
    <w:rsid w:val="00EC4DE8"/>
    <w:rsid w:val="00EC514D"/>
    <w:rsid w:val="00EC5566"/>
    <w:rsid w:val="00EC556D"/>
    <w:rsid w:val="00EC603F"/>
    <w:rsid w:val="00EC68B7"/>
    <w:rsid w:val="00EC6B8D"/>
    <w:rsid w:val="00EC75A8"/>
    <w:rsid w:val="00EC7926"/>
    <w:rsid w:val="00EC7BE6"/>
    <w:rsid w:val="00ED0E1F"/>
    <w:rsid w:val="00ED347C"/>
    <w:rsid w:val="00ED43B3"/>
    <w:rsid w:val="00ED454C"/>
    <w:rsid w:val="00ED479F"/>
    <w:rsid w:val="00ED47F4"/>
    <w:rsid w:val="00ED5680"/>
    <w:rsid w:val="00ED59FF"/>
    <w:rsid w:val="00ED5D99"/>
    <w:rsid w:val="00ED5E0B"/>
    <w:rsid w:val="00ED606B"/>
    <w:rsid w:val="00ED6694"/>
    <w:rsid w:val="00ED683F"/>
    <w:rsid w:val="00ED6F0A"/>
    <w:rsid w:val="00ED7228"/>
    <w:rsid w:val="00ED73E1"/>
    <w:rsid w:val="00EE0390"/>
    <w:rsid w:val="00EE0969"/>
    <w:rsid w:val="00EE10E1"/>
    <w:rsid w:val="00EE345D"/>
    <w:rsid w:val="00EE38CE"/>
    <w:rsid w:val="00EE3F4E"/>
    <w:rsid w:val="00EE4A10"/>
    <w:rsid w:val="00EE4D81"/>
    <w:rsid w:val="00EE4F3B"/>
    <w:rsid w:val="00EE5C4D"/>
    <w:rsid w:val="00EE640A"/>
    <w:rsid w:val="00EE6B91"/>
    <w:rsid w:val="00EE6CB6"/>
    <w:rsid w:val="00EE71BD"/>
    <w:rsid w:val="00EE72DA"/>
    <w:rsid w:val="00EE7945"/>
    <w:rsid w:val="00EF0480"/>
    <w:rsid w:val="00EF0AB8"/>
    <w:rsid w:val="00EF1AA5"/>
    <w:rsid w:val="00EF1E4D"/>
    <w:rsid w:val="00EF229E"/>
    <w:rsid w:val="00EF23F5"/>
    <w:rsid w:val="00EF2405"/>
    <w:rsid w:val="00EF3E50"/>
    <w:rsid w:val="00EF3EDC"/>
    <w:rsid w:val="00EF4293"/>
    <w:rsid w:val="00EF4968"/>
    <w:rsid w:val="00EF52F4"/>
    <w:rsid w:val="00EF5493"/>
    <w:rsid w:val="00EF5A0A"/>
    <w:rsid w:val="00EF6072"/>
    <w:rsid w:val="00EF6154"/>
    <w:rsid w:val="00EF7E74"/>
    <w:rsid w:val="00F0028F"/>
    <w:rsid w:val="00F0053F"/>
    <w:rsid w:val="00F005B4"/>
    <w:rsid w:val="00F00E79"/>
    <w:rsid w:val="00F01C1C"/>
    <w:rsid w:val="00F01D6E"/>
    <w:rsid w:val="00F02372"/>
    <w:rsid w:val="00F0266A"/>
    <w:rsid w:val="00F026E5"/>
    <w:rsid w:val="00F02998"/>
    <w:rsid w:val="00F0344E"/>
    <w:rsid w:val="00F04853"/>
    <w:rsid w:val="00F04E42"/>
    <w:rsid w:val="00F0599F"/>
    <w:rsid w:val="00F05BB3"/>
    <w:rsid w:val="00F05C4F"/>
    <w:rsid w:val="00F05D81"/>
    <w:rsid w:val="00F0657F"/>
    <w:rsid w:val="00F066EA"/>
    <w:rsid w:val="00F06CD4"/>
    <w:rsid w:val="00F06D8C"/>
    <w:rsid w:val="00F06E4D"/>
    <w:rsid w:val="00F07C25"/>
    <w:rsid w:val="00F07DBA"/>
    <w:rsid w:val="00F07DEC"/>
    <w:rsid w:val="00F1042E"/>
    <w:rsid w:val="00F12A52"/>
    <w:rsid w:val="00F12EF9"/>
    <w:rsid w:val="00F14116"/>
    <w:rsid w:val="00F142DC"/>
    <w:rsid w:val="00F143FD"/>
    <w:rsid w:val="00F14673"/>
    <w:rsid w:val="00F14754"/>
    <w:rsid w:val="00F15242"/>
    <w:rsid w:val="00F15C6B"/>
    <w:rsid w:val="00F16124"/>
    <w:rsid w:val="00F16C92"/>
    <w:rsid w:val="00F16E5D"/>
    <w:rsid w:val="00F16E63"/>
    <w:rsid w:val="00F16F1B"/>
    <w:rsid w:val="00F17512"/>
    <w:rsid w:val="00F17B5F"/>
    <w:rsid w:val="00F20264"/>
    <w:rsid w:val="00F20719"/>
    <w:rsid w:val="00F20A81"/>
    <w:rsid w:val="00F20E59"/>
    <w:rsid w:val="00F20FAE"/>
    <w:rsid w:val="00F210CF"/>
    <w:rsid w:val="00F225AD"/>
    <w:rsid w:val="00F22A43"/>
    <w:rsid w:val="00F24807"/>
    <w:rsid w:val="00F24CD9"/>
    <w:rsid w:val="00F27302"/>
    <w:rsid w:val="00F27D7C"/>
    <w:rsid w:val="00F27D92"/>
    <w:rsid w:val="00F304B6"/>
    <w:rsid w:val="00F33578"/>
    <w:rsid w:val="00F33B7C"/>
    <w:rsid w:val="00F34955"/>
    <w:rsid w:val="00F34EC7"/>
    <w:rsid w:val="00F35CC0"/>
    <w:rsid w:val="00F370BF"/>
    <w:rsid w:val="00F3738B"/>
    <w:rsid w:val="00F3757C"/>
    <w:rsid w:val="00F37627"/>
    <w:rsid w:val="00F4022B"/>
    <w:rsid w:val="00F4022E"/>
    <w:rsid w:val="00F40D71"/>
    <w:rsid w:val="00F41379"/>
    <w:rsid w:val="00F41549"/>
    <w:rsid w:val="00F41609"/>
    <w:rsid w:val="00F42071"/>
    <w:rsid w:val="00F42C74"/>
    <w:rsid w:val="00F42D45"/>
    <w:rsid w:val="00F44CD6"/>
    <w:rsid w:val="00F4533A"/>
    <w:rsid w:val="00F45A4F"/>
    <w:rsid w:val="00F45DFC"/>
    <w:rsid w:val="00F45FB0"/>
    <w:rsid w:val="00F46269"/>
    <w:rsid w:val="00F47379"/>
    <w:rsid w:val="00F47E92"/>
    <w:rsid w:val="00F52064"/>
    <w:rsid w:val="00F52150"/>
    <w:rsid w:val="00F521BC"/>
    <w:rsid w:val="00F524FF"/>
    <w:rsid w:val="00F52A68"/>
    <w:rsid w:val="00F53B5C"/>
    <w:rsid w:val="00F54085"/>
    <w:rsid w:val="00F54720"/>
    <w:rsid w:val="00F54F18"/>
    <w:rsid w:val="00F54F63"/>
    <w:rsid w:val="00F563CF"/>
    <w:rsid w:val="00F57076"/>
    <w:rsid w:val="00F57738"/>
    <w:rsid w:val="00F6157B"/>
    <w:rsid w:val="00F61B11"/>
    <w:rsid w:val="00F621C1"/>
    <w:rsid w:val="00F62C14"/>
    <w:rsid w:val="00F632B5"/>
    <w:rsid w:val="00F632F9"/>
    <w:rsid w:val="00F633AA"/>
    <w:rsid w:val="00F63E14"/>
    <w:rsid w:val="00F64137"/>
    <w:rsid w:val="00F6459B"/>
    <w:rsid w:val="00F6490D"/>
    <w:rsid w:val="00F651E1"/>
    <w:rsid w:val="00F65329"/>
    <w:rsid w:val="00F653E1"/>
    <w:rsid w:val="00F6564E"/>
    <w:rsid w:val="00F65CB3"/>
    <w:rsid w:val="00F65E38"/>
    <w:rsid w:val="00F6640D"/>
    <w:rsid w:val="00F66558"/>
    <w:rsid w:val="00F6679B"/>
    <w:rsid w:val="00F66C34"/>
    <w:rsid w:val="00F66E83"/>
    <w:rsid w:val="00F67046"/>
    <w:rsid w:val="00F70BC7"/>
    <w:rsid w:val="00F71095"/>
    <w:rsid w:val="00F719FE"/>
    <w:rsid w:val="00F71AEE"/>
    <w:rsid w:val="00F7292C"/>
    <w:rsid w:val="00F72F05"/>
    <w:rsid w:val="00F73461"/>
    <w:rsid w:val="00F7368D"/>
    <w:rsid w:val="00F73A00"/>
    <w:rsid w:val="00F73B7D"/>
    <w:rsid w:val="00F73EA7"/>
    <w:rsid w:val="00F73F17"/>
    <w:rsid w:val="00F74AAF"/>
    <w:rsid w:val="00F75013"/>
    <w:rsid w:val="00F77421"/>
    <w:rsid w:val="00F813FD"/>
    <w:rsid w:val="00F81A44"/>
    <w:rsid w:val="00F82B07"/>
    <w:rsid w:val="00F83C96"/>
    <w:rsid w:val="00F83D0A"/>
    <w:rsid w:val="00F8419C"/>
    <w:rsid w:val="00F84430"/>
    <w:rsid w:val="00F84EEB"/>
    <w:rsid w:val="00F8548F"/>
    <w:rsid w:val="00F85731"/>
    <w:rsid w:val="00F870CE"/>
    <w:rsid w:val="00F8710A"/>
    <w:rsid w:val="00F875B8"/>
    <w:rsid w:val="00F90674"/>
    <w:rsid w:val="00F91AF6"/>
    <w:rsid w:val="00F92A5F"/>
    <w:rsid w:val="00F93016"/>
    <w:rsid w:val="00F93544"/>
    <w:rsid w:val="00F93709"/>
    <w:rsid w:val="00F93D76"/>
    <w:rsid w:val="00F9417E"/>
    <w:rsid w:val="00F944AD"/>
    <w:rsid w:val="00F944BD"/>
    <w:rsid w:val="00F94566"/>
    <w:rsid w:val="00F946C8"/>
    <w:rsid w:val="00F95317"/>
    <w:rsid w:val="00F95442"/>
    <w:rsid w:val="00F95904"/>
    <w:rsid w:val="00F95B7C"/>
    <w:rsid w:val="00F964A0"/>
    <w:rsid w:val="00F9703F"/>
    <w:rsid w:val="00F97226"/>
    <w:rsid w:val="00FA0492"/>
    <w:rsid w:val="00FA07F3"/>
    <w:rsid w:val="00FA0C18"/>
    <w:rsid w:val="00FA0E7F"/>
    <w:rsid w:val="00FA1848"/>
    <w:rsid w:val="00FA2F6F"/>
    <w:rsid w:val="00FA36CC"/>
    <w:rsid w:val="00FA3C27"/>
    <w:rsid w:val="00FA3D15"/>
    <w:rsid w:val="00FA4AFF"/>
    <w:rsid w:val="00FA505F"/>
    <w:rsid w:val="00FA6549"/>
    <w:rsid w:val="00FA679A"/>
    <w:rsid w:val="00FA7197"/>
    <w:rsid w:val="00FA7DFA"/>
    <w:rsid w:val="00FB0024"/>
    <w:rsid w:val="00FB0377"/>
    <w:rsid w:val="00FB0B86"/>
    <w:rsid w:val="00FB181D"/>
    <w:rsid w:val="00FB1EDB"/>
    <w:rsid w:val="00FB1EE1"/>
    <w:rsid w:val="00FB1F86"/>
    <w:rsid w:val="00FB2F36"/>
    <w:rsid w:val="00FB4405"/>
    <w:rsid w:val="00FB48AB"/>
    <w:rsid w:val="00FB4DD4"/>
    <w:rsid w:val="00FB4E1A"/>
    <w:rsid w:val="00FB4E77"/>
    <w:rsid w:val="00FB4F7E"/>
    <w:rsid w:val="00FB5547"/>
    <w:rsid w:val="00FB5868"/>
    <w:rsid w:val="00FB5943"/>
    <w:rsid w:val="00FB5B6F"/>
    <w:rsid w:val="00FB720B"/>
    <w:rsid w:val="00FB7D85"/>
    <w:rsid w:val="00FC004E"/>
    <w:rsid w:val="00FC0F29"/>
    <w:rsid w:val="00FC11EB"/>
    <w:rsid w:val="00FC1538"/>
    <w:rsid w:val="00FC2048"/>
    <w:rsid w:val="00FC2A60"/>
    <w:rsid w:val="00FC3DB5"/>
    <w:rsid w:val="00FC3F85"/>
    <w:rsid w:val="00FC42DC"/>
    <w:rsid w:val="00FC5089"/>
    <w:rsid w:val="00FC5B2C"/>
    <w:rsid w:val="00FC5C7B"/>
    <w:rsid w:val="00FC5FEF"/>
    <w:rsid w:val="00FC6450"/>
    <w:rsid w:val="00FC6A32"/>
    <w:rsid w:val="00FC6E4D"/>
    <w:rsid w:val="00FC7098"/>
    <w:rsid w:val="00FC735D"/>
    <w:rsid w:val="00FC7378"/>
    <w:rsid w:val="00FD057E"/>
    <w:rsid w:val="00FD086B"/>
    <w:rsid w:val="00FD0A8A"/>
    <w:rsid w:val="00FD1406"/>
    <w:rsid w:val="00FD1484"/>
    <w:rsid w:val="00FD2A6E"/>
    <w:rsid w:val="00FD2C84"/>
    <w:rsid w:val="00FD3253"/>
    <w:rsid w:val="00FD3269"/>
    <w:rsid w:val="00FD32B9"/>
    <w:rsid w:val="00FD3613"/>
    <w:rsid w:val="00FD3A4B"/>
    <w:rsid w:val="00FD3D99"/>
    <w:rsid w:val="00FD4E8F"/>
    <w:rsid w:val="00FD4EEA"/>
    <w:rsid w:val="00FD4F90"/>
    <w:rsid w:val="00FD5B2E"/>
    <w:rsid w:val="00FD624D"/>
    <w:rsid w:val="00FD7969"/>
    <w:rsid w:val="00FD7B8A"/>
    <w:rsid w:val="00FE081C"/>
    <w:rsid w:val="00FE0E56"/>
    <w:rsid w:val="00FE0ED8"/>
    <w:rsid w:val="00FE18FF"/>
    <w:rsid w:val="00FE305D"/>
    <w:rsid w:val="00FE308B"/>
    <w:rsid w:val="00FE33D7"/>
    <w:rsid w:val="00FE3BB8"/>
    <w:rsid w:val="00FE433A"/>
    <w:rsid w:val="00FE5EF2"/>
    <w:rsid w:val="00FE79D5"/>
    <w:rsid w:val="00FE7FD2"/>
    <w:rsid w:val="00FE7FF1"/>
    <w:rsid w:val="00FF01AE"/>
    <w:rsid w:val="00FF05F4"/>
    <w:rsid w:val="00FF076C"/>
    <w:rsid w:val="00FF0C3C"/>
    <w:rsid w:val="00FF1CAF"/>
    <w:rsid w:val="00FF225F"/>
    <w:rsid w:val="00FF30CB"/>
    <w:rsid w:val="00FF34F0"/>
    <w:rsid w:val="00FF4043"/>
    <w:rsid w:val="00FF4192"/>
    <w:rsid w:val="00FF432A"/>
    <w:rsid w:val="00FF5A4F"/>
    <w:rsid w:val="00FF5B1D"/>
    <w:rsid w:val="00FF5B73"/>
    <w:rsid w:val="00FF5D4D"/>
    <w:rsid w:val="00FF65E2"/>
    <w:rsid w:val="00FF671B"/>
    <w:rsid w:val="00FF6B28"/>
    <w:rsid w:val="00FF6C2C"/>
    <w:rsid w:val="00FF708C"/>
    <w:rsid w:val="00FF723B"/>
    <w:rsid w:val="175A8C0D"/>
    <w:rsid w:val="223F4417"/>
    <w:rsid w:val="245B77A3"/>
    <w:rsid w:val="35BF49BB"/>
    <w:rsid w:val="3CCED2BB"/>
    <w:rsid w:val="3FFECBF7"/>
    <w:rsid w:val="49551172"/>
    <w:rsid w:val="4FD396AE"/>
    <w:rsid w:val="574E446C"/>
    <w:rsid w:val="577C03DB"/>
    <w:rsid w:val="5AAF7F8E"/>
    <w:rsid w:val="5BBD5CD8"/>
    <w:rsid w:val="5D7ECAA7"/>
    <w:rsid w:val="5FC43B62"/>
    <w:rsid w:val="66F4CAF9"/>
    <w:rsid w:val="67FD5C4D"/>
    <w:rsid w:val="6D34D2B1"/>
    <w:rsid w:val="6FF3AB49"/>
    <w:rsid w:val="74E73B8F"/>
    <w:rsid w:val="75CD6360"/>
    <w:rsid w:val="77A23EFE"/>
    <w:rsid w:val="77FF0B53"/>
    <w:rsid w:val="77FF9E1B"/>
    <w:rsid w:val="79F7EBD3"/>
    <w:rsid w:val="7B7F5140"/>
    <w:rsid w:val="7BBDD7AC"/>
    <w:rsid w:val="7CEE5C65"/>
    <w:rsid w:val="7D539735"/>
    <w:rsid w:val="7F5E0BB5"/>
    <w:rsid w:val="7F6FFACA"/>
    <w:rsid w:val="7F7F3D15"/>
    <w:rsid w:val="7FBE66C1"/>
    <w:rsid w:val="7FBFB864"/>
    <w:rsid w:val="7FFDAF80"/>
    <w:rsid w:val="8FFFA278"/>
    <w:rsid w:val="9FBB9734"/>
    <w:rsid w:val="A12764B9"/>
    <w:rsid w:val="AA5F8D60"/>
    <w:rsid w:val="AFDD7956"/>
    <w:rsid w:val="B2EFF5BE"/>
    <w:rsid w:val="B3F9B313"/>
    <w:rsid w:val="B5DF535F"/>
    <w:rsid w:val="B7BE6F38"/>
    <w:rsid w:val="B7F936D2"/>
    <w:rsid w:val="BFFD017C"/>
    <w:rsid w:val="CBDF6A6A"/>
    <w:rsid w:val="CDFEE98A"/>
    <w:rsid w:val="CFB72C5C"/>
    <w:rsid w:val="D2FF455C"/>
    <w:rsid w:val="D5A78EB3"/>
    <w:rsid w:val="D973570B"/>
    <w:rsid w:val="DE3B921B"/>
    <w:rsid w:val="DF979612"/>
    <w:rsid w:val="E0B7DB90"/>
    <w:rsid w:val="E3FB96A4"/>
    <w:rsid w:val="E7DA20E9"/>
    <w:rsid w:val="EBBB4B20"/>
    <w:rsid w:val="EBBF6220"/>
    <w:rsid w:val="EDFF3A64"/>
    <w:rsid w:val="EEDBE289"/>
    <w:rsid w:val="EFFB691C"/>
    <w:rsid w:val="EFFF9250"/>
    <w:rsid w:val="EFFFE2DD"/>
    <w:rsid w:val="F5ED3078"/>
    <w:rsid w:val="F69DCC1A"/>
    <w:rsid w:val="F7F71DFD"/>
    <w:rsid w:val="F7FFB2B2"/>
    <w:rsid w:val="FBCF0DCE"/>
    <w:rsid w:val="FBDF1A9A"/>
    <w:rsid w:val="FDBA9622"/>
    <w:rsid w:val="FDBC2CEB"/>
    <w:rsid w:val="FE2BB462"/>
    <w:rsid w:val="FE595139"/>
    <w:rsid w:val="FE78EE77"/>
    <w:rsid w:val="FF7FA27A"/>
    <w:rsid w:val="FFBB6455"/>
    <w:rsid w:val="FFF5D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iPriority="99" w:semiHidden="0"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qFormat="1" w:unhideWhenUsed="0" w:uiPriority="99" w:semiHidden="0" w:name="table of figures"/>
    <w:lsdException w:uiPriority="99" w:name="envelope address"/>
    <w:lsdException w:uiPriority="99" w:name="envelope return"/>
    <w:lsdException w:qFormat="1" w:uiPriority="99" w:semiHidden="0"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仿宋_GB2312" w:asciiTheme="minorHAnsi" w:hAnsiTheme="minorHAnsi" w:cstheme="minorBidi"/>
      <w:kern w:val="2"/>
      <w:sz w:val="28"/>
      <w:szCs w:val="22"/>
      <w:lang w:val="en-US" w:eastAsia="zh-CN" w:bidi="ar-SA"/>
    </w:rPr>
  </w:style>
  <w:style w:type="paragraph" w:styleId="2">
    <w:name w:val="heading 1"/>
    <w:basedOn w:val="1"/>
    <w:next w:val="1"/>
    <w:link w:val="4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7"/>
    <w:unhideWhenUsed/>
    <w:qFormat/>
    <w:uiPriority w:val="0"/>
    <w:pPr>
      <w:keepNext/>
      <w:keepLines/>
      <w:spacing w:before="600" w:after="260" w:line="415" w:lineRule="auto"/>
      <w:outlineLvl w:val="1"/>
    </w:pPr>
    <w:rPr>
      <w:rFonts w:asciiTheme="majorHAnsi" w:hAnsiTheme="majorHAnsi" w:eastAsiaTheme="majorEastAsia" w:cstheme="majorBidi"/>
      <w:b/>
      <w:bCs/>
      <w:sz w:val="32"/>
      <w:szCs w:val="32"/>
    </w:rPr>
  </w:style>
  <w:style w:type="paragraph" w:styleId="4">
    <w:name w:val="heading 3"/>
    <w:basedOn w:val="1"/>
    <w:next w:val="1"/>
    <w:link w:val="48"/>
    <w:unhideWhenUsed/>
    <w:qFormat/>
    <w:uiPriority w:val="0"/>
    <w:pPr>
      <w:keepNext/>
      <w:keepLines/>
      <w:spacing w:before="260" w:after="260" w:line="416" w:lineRule="auto"/>
      <w:outlineLvl w:val="2"/>
    </w:pPr>
    <w:rPr>
      <w:b/>
      <w:bCs/>
      <w:sz w:val="30"/>
      <w:szCs w:val="32"/>
    </w:rPr>
  </w:style>
  <w:style w:type="paragraph" w:styleId="5">
    <w:name w:val="heading 4"/>
    <w:basedOn w:val="1"/>
    <w:next w:val="1"/>
    <w:link w:val="49"/>
    <w:unhideWhenUsed/>
    <w:qFormat/>
    <w:uiPriority w:val="9"/>
    <w:pPr>
      <w:keepNext/>
      <w:keepLines/>
      <w:spacing w:before="280" w:after="290" w:line="376" w:lineRule="auto"/>
      <w:outlineLvl w:val="3"/>
    </w:pPr>
    <w:rPr>
      <w:rFonts w:asciiTheme="majorHAnsi" w:hAnsiTheme="majorHAnsi" w:eastAsiaTheme="majorEastAsia" w:cstheme="majorBidi"/>
      <w:b/>
      <w:bCs/>
      <w:szCs w:val="28"/>
    </w:rPr>
  </w:style>
  <w:style w:type="paragraph" w:styleId="6">
    <w:name w:val="heading 5"/>
    <w:basedOn w:val="1"/>
    <w:next w:val="1"/>
    <w:link w:val="50"/>
    <w:qFormat/>
    <w:uiPriority w:val="0"/>
    <w:pPr>
      <w:keepNext/>
      <w:keepLines/>
      <w:spacing w:before="280" w:after="290" w:line="376" w:lineRule="auto"/>
      <w:outlineLvl w:val="4"/>
    </w:pPr>
    <w:rPr>
      <w:rFonts w:ascii="Times New Roman" w:hAnsi="Times New Roman" w:cs="Times New Roman"/>
      <w:b/>
      <w:bCs/>
      <w:szCs w:val="28"/>
    </w:rPr>
  </w:style>
  <w:style w:type="paragraph" w:styleId="7">
    <w:name w:val="heading 6"/>
    <w:basedOn w:val="1"/>
    <w:next w:val="1"/>
    <w:link w:val="51"/>
    <w:qFormat/>
    <w:uiPriority w:val="0"/>
    <w:pPr>
      <w:keepNext/>
      <w:keepLines/>
      <w:spacing w:before="240" w:after="64" w:line="320" w:lineRule="auto"/>
      <w:outlineLvl w:val="5"/>
    </w:pPr>
    <w:rPr>
      <w:rFonts w:ascii="Arial" w:hAnsi="Arial" w:eastAsia="黑体" w:cs="Times New Roman"/>
      <w:b/>
      <w:bCs/>
      <w:szCs w:val="24"/>
    </w:rPr>
  </w:style>
  <w:style w:type="paragraph" w:styleId="8">
    <w:name w:val="heading 7"/>
    <w:basedOn w:val="1"/>
    <w:next w:val="1"/>
    <w:link w:val="52"/>
    <w:qFormat/>
    <w:uiPriority w:val="0"/>
    <w:pPr>
      <w:keepNext/>
      <w:keepLines/>
      <w:spacing w:before="240" w:after="64" w:line="320" w:lineRule="auto"/>
      <w:outlineLvl w:val="6"/>
    </w:pPr>
    <w:rPr>
      <w:rFonts w:ascii="Times New Roman" w:hAnsi="Times New Roman" w:cs="Times New Roman"/>
      <w:b/>
      <w:bCs/>
      <w:szCs w:val="24"/>
    </w:rPr>
  </w:style>
  <w:style w:type="paragraph" w:styleId="9">
    <w:name w:val="heading 8"/>
    <w:basedOn w:val="1"/>
    <w:next w:val="1"/>
    <w:link w:val="53"/>
    <w:qFormat/>
    <w:uiPriority w:val="0"/>
    <w:pPr>
      <w:keepNext/>
      <w:keepLines/>
      <w:numPr>
        <w:ilvl w:val="7"/>
        <w:numId w:val="1"/>
      </w:numPr>
      <w:tabs>
        <w:tab w:val="left" w:pos="141"/>
        <w:tab w:val="clear" w:pos="0"/>
      </w:tabs>
      <w:adjustRightInd w:val="0"/>
      <w:spacing w:before="240" w:after="64" w:line="320" w:lineRule="atLeast"/>
      <w:ind w:left="3541" w:firstLine="200" w:firstLineChars="200"/>
      <w:textAlignment w:val="baseline"/>
      <w:outlineLvl w:val="7"/>
    </w:pPr>
    <w:rPr>
      <w:rFonts w:ascii="Arial" w:hAnsi="Arial" w:eastAsia="黑体" w:cs="Times New Roman"/>
      <w:spacing w:val="-10"/>
      <w:kern w:val="0"/>
      <w:szCs w:val="24"/>
    </w:rPr>
  </w:style>
  <w:style w:type="paragraph" w:styleId="10">
    <w:name w:val="heading 9"/>
    <w:basedOn w:val="1"/>
    <w:next w:val="1"/>
    <w:link w:val="54"/>
    <w:qFormat/>
    <w:uiPriority w:val="0"/>
    <w:pPr>
      <w:keepNext/>
      <w:keepLines/>
      <w:numPr>
        <w:ilvl w:val="8"/>
        <w:numId w:val="1"/>
      </w:numPr>
      <w:tabs>
        <w:tab w:val="left" w:pos="141"/>
        <w:tab w:val="clear" w:pos="0"/>
      </w:tabs>
      <w:adjustRightInd w:val="0"/>
      <w:spacing w:before="240" w:after="64" w:line="320" w:lineRule="atLeast"/>
      <w:ind w:left="3966" w:firstLine="200" w:firstLineChars="200"/>
      <w:textAlignment w:val="baseline"/>
      <w:outlineLvl w:val="8"/>
    </w:pPr>
    <w:rPr>
      <w:rFonts w:ascii="Arial" w:hAnsi="Arial" w:eastAsia="黑体" w:cs="Times New Roman"/>
      <w:spacing w:val="-10"/>
      <w:kern w:val="0"/>
      <w:szCs w:val="24"/>
    </w:rPr>
  </w:style>
  <w:style w:type="character" w:default="1" w:styleId="39">
    <w:name w:val="Default Paragraph Font"/>
    <w:semiHidden/>
    <w:unhideWhenUsed/>
    <w:qFormat/>
    <w:uiPriority w:val="1"/>
  </w:style>
  <w:style w:type="table" w:default="1" w:styleId="36">
    <w:name w:val="Normal Table"/>
    <w:semiHidden/>
    <w:unhideWhenUsed/>
    <w:qFormat/>
    <w:uiPriority w:val="99"/>
    <w:tblPr>
      <w:tblLayout w:type="fixed"/>
      <w:tblCellMar>
        <w:top w:w="0" w:type="dxa"/>
        <w:left w:w="108" w:type="dxa"/>
        <w:bottom w:w="0" w:type="dxa"/>
        <w:right w:w="108" w:type="dxa"/>
      </w:tblCellMar>
    </w:tblPr>
  </w:style>
  <w:style w:type="paragraph" w:styleId="11">
    <w:name w:val="toc 7"/>
    <w:basedOn w:val="1"/>
    <w:next w:val="1"/>
    <w:qFormat/>
    <w:uiPriority w:val="39"/>
    <w:pPr>
      <w:ind w:left="1440"/>
      <w:jc w:val="left"/>
    </w:pPr>
    <w:rPr>
      <w:rFonts w:ascii="Times New Roman" w:hAnsi="Times New Roman" w:cs="Times New Roman"/>
      <w:sz w:val="18"/>
      <w:szCs w:val="18"/>
    </w:rPr>
  </w:style>
  <w:style w:type="paragraph" w:styleId="12">
    <w:name w:val="Normal Indent"/>
    <w:basedOn w:val="1"/>
    <w:link w:val="55"/>
    <w:qFormat/>
    <w:uiPriority w:val="0"/>
    <w:pPr>
      <w:spacing w:line="300" w:lineRule="auto"/>
      <w:ind w:firstLine="420"/>
    </w:pPr>
    <w:rPr>
      <w:rFonts w:ascii="Times New Roman" w:hAnsi="Times New Roman" w:eastAsia="宋体" w:cs="Times New Roman"/>
      <w:sz w:val="24"/>
      <w:szCs w:val="20"/>
    </w:r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Document Map"/>
    <w:basedOn w:val="1"/>
    <w:link w:val="56"/>
    <w:unhideWhenUsed/>
    <w:qFormat/>
    <w:uiPriority w:val="0"/>
    <w:rPr>
      <w:rFonts w:ascii="宋体" w:eastAsia="宋体"/>
      <w:sz w:val="18"/>
      <w:szCs w:val="18"/>
    </w:rPr>
  </w:style>
  <w:style w:type="paragraph" w:styleId="15">
    <w:name w:val="annotation text"/>
    <w:basedOn w:val="1"/>
    <w:link w:val="85"/>
    <w:semiHidden/>
    <w:qFormat/>
    <w:uiPriority w:val="99"/>
    <w:pPr>
      <w:jc w:val="left"/>
    </w:pPr>
    <w:rPr>
      <w:rFonts w:ascii="Times New Roman" w:hAnsi="Times New Roman" w:cs="Times New Roman"/>
      <w:sz w:val="21"/>
      <w:szCs w:val="20"/>
    </w:rPr>
  </w:style>
  <w:style w:type="paragraph" w:styleId="16">
    <w:name w:val="Body Text Indent"/>
    <w:basedOn w:val="1"/>
    <w:link w:val="57"/>
    <w:unhideWhenUsed/>
    <w:qFormat/>
    <w:uiPriority w:val="99"/>
    <w:pPr>
      <w:spacing w:after="120"/>
      <w:ind w:left="420" w:leftChars="200"/>
    </w:pPr>
  </w:style>
  <w:style w:type="paragraph" w:styleId="17">
    <w:name w:val="toc 5"/>
    <w:basedOn w:val="1"/>
    <w:next w:val="1"/>
    <w:qFormat/>
    <w:uiPriority w:val="39"/>
    <w:pPr>
      <w:ind w:left="960"/>
      <w:jc w:val="left"/>
    </w:pPr>
    <w:rPr>
      <w:rFonts w:ascii="Times New Roman" w:hAnsi="Times New Roman" w:cs="Times New Roman"/>
      <w:sz w:val="18"/>
      <w:szCs w:val="18"/>
    </w:rPr>
  </w:style>
  <w:style w:type="paragraph" w:styleId="18">
    <w:name w:val="toc 3"/>
    <w:basedOn w:val="1"/>
    <w:next w:val="1"/>
    <w:qFormat/>
    <w:uiPriority w:val="39"/>
    <w:pPr>
      <w:ind w:left="480"/>
      <w:jc w:val="left"/>
    </w:pPr>
    <w:rPr>
      <w:rFonts w:ascii="Times New Roman" w:hAnsi="Times New Roman" w:cs="Times New Roman"/>
      <w:i/>
      <w:iCs/>
      <w:sz w:val="20"/>
      <w:szCs w:val="20"/>
    </w:rPr>
  </w:style>
  <w:style w:type="paragraph" w:styleId="19">
    <w:name w:val="Plain Text"/>
    <w:basedOn w:val="1"/>
    <w:link w:val="80"/>
    <w:qFormat/>
    <w:uiPriority w:val="0"/>
    <w:pPr>
      <w:spacing w:line="240" w:lineRule="auto"/>
    </w:pPr>
    <w:rPr>
      <w:rFonts w:ascii="宋体" w:hAnsi="Courier New" w:cs="Courier New"/>
      <w:sz w:val="21"/>
      <w:szCs w:val="21"/>
    </w:rPr>
  </w:style>
  <w:style w:type="paragraph" w:styleId="20">
    <w:name w:val="toc 8"/>
    <w:basedOn w:val="1"/>
    <w:next w:val="1"/>
    <w:qFormat/>
    <w:uiPriority w:val="39"/>
    <w:pPr>
      <w:ind w:left="1680"/>
      <w:jc w:val="left"/>
    </w:pPr>
    <w:rPr>
      <w:rFonts w:ascii="Times New Roman" w:hAnsi="Times New Roman" w:cs="Times New Roman"/>
      <w:sz w:val="18"/>
      <w:szCs w:val="18"/>
    </w:rPr>
  </w:style>
  <w:style w:type="paragraph" w:styleId="21">
    <w:name w:val="Date"/>
    <w:basedOn w:val="1"/>
    <w:next w:val="1"/>
    <w:link w:val="58"/>
    <w:unhideWhenUsed/>
    <w:qFormat/>
    <w:uiPriority w:val="0"/>
    <w:pPr>
      <w:ind w:left="100" w:leftChars="2500"/>
    </w:pPr>
  </w:style>
  <w:style w:type="paragraph" w:styleId="22">
    <w:name w:val="Balloon Text"/>
    <w:basedOn w:val="1"/>
    <w:link w:val="59"/>
    <w:unhideWhenUsed/>
    <w:qFormat/>
    <w:uiPriority w:val="99"/>
    <w:pPr>
      <w:spacing w:line="240" w:lineRule="auto"/>
    </w:pPr>
    <w:rPr>
      <w:sz w:val="18"/>
      <w:szCs w:val="18"/>
    </w:rPr>
  </w:style>
  <w:style w:type="paragraph" w:styleId="23">
    <w:name w:val="footer"/>
    <w:basedOn w:val="1"/>
    <w:link w:val="60"/>
    <w:unhideWhenUsed/>
    <w:qFormat/>
    <w:uiPriority w:val="99"/>
    <w:pPr>
      <w:tabs>
        <w:tab w:val="center" w:pos="4153"/>
        <w:tab w:val="right" w:pos="8306"/>
      </w:tabs>
      <w:snapToGrid w:val="0"/>
      <w:spacing w:line="240" w:lineRule="auto"/>
      <w:jc w:val="left"/>
    </w:pPr>
    <w:rPr>
      <w:sz w:val="18"/>
      <w:szCs w:val="18"/>
    </w:rPr>
  </w:style>
  <w:style w:type="paragraph" w:styleId="24">
    <w:name w:val="header"/>
    <w:basedOn w:val="1"/>
    <w:link w:val="62"/>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25">
    <w:name w:val="toc 1"/>
    <w:basedOn w:val="1"/>
    <w:next w:val="1"/>
    <w:qFormat/>
    <w:uiPriority w:val="39"/>
    <w:pPr>
      <w:tabs>
        <w:tab w:val="right" w:leader="dot" w:pos="8296"/>
      </w:tabs>
      <w:spacing w:before="120" w:after="120"/>
      <w:jc w:val="left"/>
    </w:pPr>
    <w:rPr>
      <w:rFonts w:ascii="Times New Roman" w:hAnsi="Times New Roman" w:cs="Times New Roman"/>
      <w:b/>
      <w:bCs/>
      <w:caps/>
      <w:sz w:val="20"/>
      <w:szCs w:val="20"/>
    </w:rPr>
  </w:style>
  <w:style w:type="paragraph" w:styleId="26">
    <w:name w:val="toc 4"/>
    <w:basedOn w:val="1"/>
    <w:next w:val="1"/>
    <w:qFormat/>
    <w:uiPriority w:val="39"/>
    <w:pPr>
      <w:tabs>
        <w:tab w:val="left" w:pos="1418"/>
        <w:tab w:val="right" w:leader="dot" w:pos="8296"/>
      </w:tabs>
      <w:ind w:left="720"/>
      <w:jc w:val="left"/>
    </w:pPr>
    <w:rPr>
      <w:rFonts w:ascii="Times New Roman" w:hAnsi="Times New Roman" w:cs="Times New Roman"/>
      <w:sz w:val="18"/>
      <w:szCs w:val="18"/>
    </w:rPr>
  </w:style>
  <w:style w:type="paragraph" w:styleId="27">
    <w:name w:val="footnote text"/>
    <w:basedOn w:val="1"/>
    <w:link w:val="95"/>
    <w:unhideWhenUsed/>
    <w:qFormat/>
    <w:uiPriority w:val="99"/>
    <w:pPr>
      <w:snapToGrid w:val="0"/>
      <w:spacing w:line="240" w:lineRule="auto"/>
      <w:jc w:val="left"/>
    </w:pPr>
    <w:rPr>
      <w:rFonts w:ascii="Times New Roman" w:hAnsi="Times New Roman" w:eastAsia="宋体" w:cs="Times New Roman"/>
      <w:kern w:val="0"/>
      <w:sz w:val="18"/>
      <w:szCs w:val="18"/>
    </w:rPr>
  </w:style>
  <w:style w:type="paragraph" w:styleId="28">
    <w:name w:val="toc 6"/>
    <w:basedOn w:val="1"/>
    <w:next w:val="1"/>
    <w:qFormat/>
    <w:uiPriority w:val="39"/>
    <w:pPr>
      <w:ind w:left="1200"/>
      <w:jc w:val="left"/>
    </w:pPr>
    <w:rPr>
      <w:rFonts w:ascii="Times New Roman" w:hAnsi="Times New Roman" w:cs="Times New Roman"/>
      <w:sz w:val="18"/>
      <w:szCs w:val="18"/>
    </w:rPr>
  </w:style>
  <w:style w:type="paragraph" w:styleId="29">
    <w:name w:val="table of figures"/>
    <w:basedOn w:val="1"/>
    <w:next w:val="1"/>
    <w:qFormat/>
    <w:uiPriority w:val="99"/>
    <w:pPr>
      <w:ind w:left="200" w:leftChars="200" w:hanging="200" w:hangingChars="200"/>
    </w:pPr>
    <w:rPr>
      <w:rFonts w:ascii="Times New Roman" w:hAnsi="Times New Roman" w:cs="Times New Roman"/>
      <w:szCs w:val="24"/>
    </w:rPr>
  </w:style>
  <w:style w:type="paragraph" w:styleId="30">
    <w:name w:val="toc 2"/>
    <w:basedOn w:val="1"/>
    <w:next w:val="1"/>
    <w:qFormat/>
    <w:uiPriority w:val="39"/>
    <w:pPr>
      <w:tabs>
        <w:tab w:val="left" w:pos="960"/>
        <w:tab w:val="right" w:leader="dot" w:pos="8296"/>
      </w:tabs>
      <w:ind w:left="240"/>
      <w:jc w:val="left"/>
    </w:pPr>
    <w:rPr>
      <w:rFonts w:ascii="Times New Roman" w:hAnsi="Times New Roman" w:cs="Times New Roman"/>
      <w:smallCaps/>
      <w:sz w:val="20"/>
      <w:szCs w:val="20"/>
    </w:rPr>
  </w:style>
  <w:style w:type="paragraph" w:styleId="31">
    <w:name w:val="toc 9"/>
    <w:basedOn w:val="1"/>
    <w:next w:val="1"/>
    <w:qFormat/>
    <w:uiPriority w:val="39"/>
    <w:pPr>
      <w:ind w:left="1920"/>
      <w:jc w:val="left"/>
    </w:pPr>
    <w:rPr>
      <w:rFonts w:ascii="Times New Roman" w:hAnsi="Times New Roman" w:cs="Times New Roman"/>
      <w:sz w:val="18"/>
      <w:szCs w:val="18"/>
    </w:rPr>
  </w:style>
  <w:style w:type="paragraph" w:styleId="32">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33">
    <w:name w:val="Title"/>
    <w:basedOn w:val="1"/>
    <w:next w:val="1"/>
    <w:link w:val="99"/>
    <w:qFormat/>
    <w:uiPriority w:val="10"/>
    <w:pPr>
      <w:spacing w:before="240" w:after="60"/>
      <w:jc w:val="center"/>
      <w:outlineLvl w:val="0"/>
    </w:pPr>
    <w:rPr>
      <w:rFonts w:asciiTheme="majorHAnsi" w:hAnsiTheme="majorHAnsi" w:eastAsiaTheme="majorEastAsia" w:cstheme="majorBidi"/>
      <w:b/>
      <w:bCs/>
      <w:sz w:val="32"/>
      <w:szCs w:val="32"/>
    </w:rPr>
  </w:style>
  <w:style w:type="paragraph" w:styleId="34">
    <w:name w:val="annotation subject"/>
    <w:basedOn w:val="15"/>
    <w:next w:val="15"/>
    <w:link w:val="86"/>
    <w:semiHidden/>
    <w:qFormat/>
    <w:uiPriority w:val="99"/>
    <w:rPr>
      <w:b/>
      <w:bCs/>
    </w:rPr>
  </w:style>
  <w:style w:type="paragraph" w:styleId="35">
    <w:name w:val="Body Text First Indent 2"/>
    <w:basedOn w:val="1"/>
    <w:link w:val="61"/>
    <w:qFormat/>
    <w:uiPriority w:val="0"/>
    <w:pPr>
      <w:spacing w:after="120" w:line="240" w:lineRule="auto"/>
      <w:ind w:firstLine="420" w:firstLineChars="200"/>
    </w:pPr>
    <w:rPr>
      <w:rFonts w:ascii="Times New Roman" w:hAnsi="Times New Roman" w:eastAsia="宋体" w:cs="Mangal"/>
      <w:sz w:val="21"/>
      <w:szCs w:val="24"/>
      <w:lang w:bidi="hi-IN"/>
    </w:rPr>
  </w:style>
  <w:style w:type="table" w:styleId="37">
    <w:name w:val="Table Grid"/>
    <w:basedOn w:val="3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styleId="38">
    <w:name w:val="Table Theme"/>
    <w:basedOn w:val="3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0">
    <w:name w:val="Strong"/>
    <w:basedOn w:val="39"/>
    <w:qFormat/>
    <w:uiPriority w:val="22"/>
    <w:rPr>
      <w:b/>
    </w:rPr>
  </w:style>
  <w:style w:type="character" w:styleId="41">
    <w:name w:val="page number"/>
    <w:basedOn w:val="39"/>
    <w:qFormat/>
    <w:uiPriority w:val="0"/>
  </w:style>
  <w:style w:type="character" w:styleId="42">
    <w:name w:val="FollowedHyperlink"/>
    <w:basedOn w:val="39"/>
    <w:qFormat/>
    <w:uiPriority w:val="99"/>
    <w:rPr>
      <w:color w:val="800080"/>
      <w:u w:val="single"/>
    </w:rPr>
  </w:style>
  <w:style w:type="character" w:styleId="43">
    <w:name w:val="Hyperlink"/>
    <w:basedOn w:val="39"/>
    <w:qFormat/>
    <w:uiPriority w:val="99"/>
    <w:rPr>
      <w:color w:val="0000FF"/>
      <w:u w:val="single"/>
    </w:rPr>
  </w:style>
  <w:style w:type="character" w:styleId="44">
    <w:name w:val="annotation reference"/>
    <w:basedOn w:val="39"/>
    <w:semiHidden/>
    <w:qFormat/>
    <w:uiPriority w:val="99"/>
    <w:rPr>
      <w:sz w:val="21"/>
      <w:szCs w:val="21"/>
    </w:rPr>
  </w:style>
  <w:style w:type="character" w:styleId="45">
    <w:name w:val="footnote reference"/>
    <w:unhideWhenUsed/>
    <w:qFormat/>
    <w:uiPriority w:val="99"/>
    <w:rPr>
      <w:vertAlign w:val="superscript"/>
    </w:rPr>
  </w:style>
  <w:style w:type="character" w:customStyle="1" w:styleId="46">
    <w:name w:val="标题 1 字符"/>
    <w:basedOn w:val="39"/>
    <w:link w:val="2"/>
    <w:qFormat/>
    <w:uiPriority w:val="0"/>
    <w:rPr>
      <w:b/>
      <w:bCs/>
      <w:kern w:val="44"/>
      <w:sz w:val="44"/>
      <w:szCs w:val="44"/>
    </w:rPr>
  </w:style>
  <w:style w:type="character" w:customStyle="1" w:styleId="47">
    <w:name w:val="标题 2 字符"/>
    <w:basedOn w:val="39"/>
    <w:link w:val="3"/>
    <w:qFormat/>
    <w:uiPriority w:val="0"/>
    <w:rPr>
      <w:rFonts w:asciiTheme="majorHAnsi" w:hAnsiTheme="majorHAnsi" w:eastAsiaTheme="majorEastAsia" w:cstheme="majorBidi"/>
      <w:b/>
      <w:bCs/>
      <w:sz w:val="32"/>
      <w:szCs w:val="32"/>
    </w:rPr>
  </w:style>
  <w:style w:type="character" w:customStyle="1" w:styleId="48">
    <w:name w:val="标题 3 字符"/>
    <w:basedOn w:val="39"/>
    <w:link w:val="4"/>
    <w:qFormat/>
    <w:uiPriority w:val="0"/>
    <w:rPr>
      <w:rFonts w:eastAsia="仿宋_GB2312"/>
      <w:b/>
      <w:bCs/>
      <w:sz w:val="30"/>
      <w:szCs w:val="32"/>
    </w:rPr>
  </w:style>
  <w:style w:type="character" w:customStyle="1" w:styleId="49">
    <w:name w:val="标题 4 字符"/>
    <w:basedOn w:val="39"/>
    <w:link w:val="5"/>
    <w:qFormat/>
    <w:uiPriority w:val="9"/>
    <w:rPr>
      <w:rFonts w:asciiTheme="majorHAnsi" w:hAnsiTheme="majorHAnsi" w:eastAsiaTheme="majorEastAsia" w:cstheme="majorBidi"/>
      <w:b/>
      <w:bCs/>
      <w:kern w:val="2"/>
      <w:sz w:val="28"/>
      <w:szCs w:val="28"/>
    </w:rPr>
  </w:style>
  <w:style w:type="character" w:customStyle="1" w:styleId="50">
    <w:name w:val="标题 5 字符"/>
    <w:basedOn w:val="39"/>
    <w:link w:val="6"/>
    <w:qFormat/>
    <w:uiPriority w:val="0"/>
    <w:rPr>
      <w:rFonts w:eastAsia="仿宋_GB2312"/>
      <w:b/>
      <w:bCs/>
      <w:kern w:val="2"/>
      <w:sz w:val="28"/>
      <w:szCs w:val="28"/>
    </w:rPr>
  </w:style>
  <w:style w:type="character" w:customStyle="1" w:styleId="51">
    <w:name w:val="标题 6 字符"/>
    <w:basedOn w:val="39"/>
    <w:link w:val="7"/>
    <w:qFormat/>
    <w:uiPriority w:val="0"/>
    <w:rPr>
      <w:rFonts w:ascii="Arial" w:hAnsi="Arial" w:eastAsia="黑体"/>
      <w:b/>
      <w:bCs/>
      <w:kern w:val="2"/>
      <w:sz w:val="28"/>
      <w:szCs w:val="24"/>
    </w:rPr>
  </w:style>
  <w:style w:type="character" w:customStyle="1" w:styleId="52">
    <w:name w:val="标题 7 字符"/>
    <w:basedOn w:val="39"/>
    <w:link w:val="8"/>
    <w:qFormat/>
    <w:uiPriority w:val="0"/>
    <w:rPr>
      <w:rFonts w:eastAsia="仿宋_GB2312"/>
      <w:b/>
      <w:bCs/>
      <w:kern w:val="2"/>
      <w:sz w:val="28"/>
      <w:szCs w:val="24"/>
    </w:rPr>
  </w:style>
  <w:style w:type="character" w:customStyle="1" w:styleId="53">
    <w:name w:val="标题 8 字符"/>
    <w:basedOn w:val="39"/>
    <w:link w:val="9"/>
    <w:qFormat/>
    <w:uiPriority w:val="0"/>
    <w:rPr>
      <w:rFonts w:ascii="Arial" w:hAnsi="Arial" w:eastAsia="黑体"/>
      <w:spacing w:val="-10"/>
      <w:sz w:val="28"/>
      <w:szCs w:val="24"/>
    </w:rPr>
  </w:style>
  <w:style w:type="character" w:customStyle="1" w:styleId="54">
    <w:name w:val="标题 9 字符"/>
    <w:basedOn w:val="39"/>
    <w:link w:val="10"/>
    <w:qFormat/>
    <w:uiPriority w:val="0"/>
    <w:rPr>
      <w:rFonts w:ascii="Arial" w:hAnsi="Arial" w:eastAsia="黑体"/>
      <w:spacing w:val="-10"/>
      <w:sz w:val="28"/>
      <w:szCs w:val="24"/>
    </w:rPr>
  </w:style>
  <w:style w:type="character" w:customStyle="1" w:styleId="55">
    <w:name w:val="正文缩进 字符"/>
    <w:link w:val="12"/>
    <w:qFormat/>
    <w:uiPriority w:val="0"/>
    <w:rPr>
      <w:rFonts w:ascii="Times New Roman" w:hAnsi="Times New Roman" w:eastAsia="宋体" w:cs="Times New Roman"/>
      <w:sz w:val="24"/>
      <w:szCs w:val="20"/>
    </w:rPr>
  </w:style>
  <w:style w:type="character" w:customStyle="1" w:styleId="56">
    <w:name w:val="文档结构图 字符"/>
    <w:basedOn w:val="39"/>
    <w:link w:val="14"/>
    <w:semiHidden/>
    <w:qFormat/>
    <w:uiPriority w:val="99"/>
    <w:rPr>
      <w:rFonts w:ascii="宋体" w:eastAsia="宋体"/>
      <w:sz w:val="18"/>
      <w:szCs w:val="18"/>
    </w:rPr>
  </w:style>
  <w:style w:type="character" w:customStyle="1" w:styleId="57">
    <w:name w:val="正文文本缩进 字符"/>
    <w:basedOn w:val="39"/>
    <w:link w:val="16"/>
    <w:semiHidden/>
    <w:qFormat/>
    <w:uiPriority w:val="99"/>
    <w:rPr>
      <w:rFonts w:eastAsia="仿宋_GB2312"/>
      <w:sz w:val="28"/>
    </w:rPr>
  </w:style>
  <w:style w:type="character" w:customStyle="1" w:styleId="58">
    <w:name w:val="日期 字符"/>
    <w:basedOn w:val="39"/>
    <w:link w:val="21"/>
    <w:qFormat/>
    <w:uiPriority w:val="0"/>
    <w:rPr>
      <w:rFonts w:eastAsia="仿宋_GB2312"/>
      <w:sz w:val="28"/>
    </w:rPr>
  </w:style>
  <w:style w:type="character" w:customStyle="1" w:styleId="59">
    <w:name w:val="批注框文本 字符"/>
    <w:basedOn w:val="39"/>
    <w:link w:val="22"/>
    <w:semiHidden/>
    <w:qFormat/>
    <w:uiPriority w:val="99"/>
    <w:rPr>
      <w:rFonts w:eastAsia="仿宋_GB2312"/>
      <w:sz w:val="18"/>
      <w:szCs w:val="18"/>
    </w:rPr>
  </w:style>
  <w:style w:type="character" w:customStyle="1" w:styleId="60">
    <w:name w:val="页脚 字符"/>
    <w:basedOn w:val="39"/>
    <w:link w:val="23"/>
    <w:qFormat/>
    <w:uiPriority w:val="99"/>
    <w:rPr>
      <w:rFonts w:eastAsia="仿宋_GB2312"/>
      <w:sz w:val="18"/>
      <w:szCs w:val="18"/>
    </w:rPr>
  </w:style>
  <w:style w:type="character" w:customStyle="1" w:styleId="61">
    <w:name w:val="正文文本首行缩进 2 字符"/>
    <w:basedOn w:val="57"/>
    <w:link w:val="35"/>
    <w:qFormat/>
    <w:uiPriority w:val="0"/>
    <w:rPr>
      <w:rFonts w:ascii="Times New Roman" w:hAnsi="Times New Roman" w:eastAsia="宋体" w:cs="Mangal"/>
      <w:sz w:val="28"/>
      <w:szCs w:val="24"/>
      <w:lang w:bidi="hi-IN"/>
    </w:rPr>
  </w:style>
  <w:style w:type="character" w:customStyle="1" w:styleId="62">
    <w:name w:val="页眉 字符"/>
    <w:basedOn w:val="39"/>
    <w:link w:val="24"/>
    <w:qFormat/>
    <w:uiPriority w:val="99"/>
    <w:rPr>
      <w:rFonts w:eastAsia="仿宋_GB2312"/>
      <w:sz w:val="18"/>
      <w:szCs w:val="18"/>
    </w:rPr>
  </w:style>
  <w:style w:type="paragraph" w:customStyle="1" w:styleId="63">
    <w:name w:val="列出段落1"/>
    <w:basedOn w:val="1"/>
    <w:qFormat/>
    <w:uiPriority w:val="34"/>
    <w:pPr>
      <w:ind w:firstLine="420" w:firstLineChars="200"/>
    </w:pPr>
  </w:style>
  <w:style w:type="paragraph" w:customStyle="1" w:styleId="64">
    <w:name w:val="样式1"/>
    <w:basedOn w:val="3"/>
    <w:link w:val="65"/>
    <w:qFormat/>
    <w:uiPriority w:val="0"/>
    <w:pPr>
      <w:numPr>
        <w:ilvl w:val="0"/>
        <w:numId w:val="2"/>
      </w:numPr>
      <w:spacing w:before="260"/>
    </w:pPr>
    <w:rPr>
      <w:rFonts w:ascii="仿宋_GB2312" w:hAnsi="Cambria" w:eastAsia="仿宋_GB2312" w:cs="Times New Roman"/>
      <w:sz w:val="36"/>
    </w:rPr>
  </w:style>
  <w:style w:type="character" w:customStyle="1" w:styleId="65">
    <w:name w:val="样式1 Char"/>
    <w:link w:val="64"/>
    <w:qFormat/>
    <w:uiPriority w:val="0"/>
    <w:rPr>
      <w:rFonts w:ascii="仿宋_GB2312" w:hAnsi="Cambria" w:eastAsia="仿宋_GB2312"/>
      <w:b/>
      <w:bCs/>
      <w:kern w:val="2"/>
      <w:sz w:val="36"/>
      <w:szCs w:val="32"/>
    </w:rPr>
  </w:style>
  <w:style w:type="paragraph" w:customStyle="1" w:styleId="66">
    <w:name w:val="样式2"/>
    <w:basedOn w:val="3"/>
    <w:link w:val="67"/>
    <w:qFormat/>
    <w:uiPriority w:val="0"/>
    <w:pPr>
      <w:numPr>
        <w:ilvl w:val="0"/>
        <w:numId w:val="3"/>
      </w:numPr>
      <w:spacing w:before="260"/>
    </w:pPr>
    <w:rPr>
      <w:rFonts w:ascii="仿宋_GB2312" w:hAnsi="Cambria" w:eastAsia="仿宋_GB2312" w:cs="Times New Roman"/>
    </w:rPr>
  </w:style>
  <w:style w:type="character" w:customStyle="1" w:styleId="67">
    <w:name w:val="样式2 Char"/>
    <w:basedOn w:val="47"/>
    <w:link w:val="66"/>
    <w:qFormat/>
    <w:uiPriority w:val="0"/>
    <w:rPr>
      <w:rFonts w:ascii="仿宋_GB2312" w:hAnsi="Cambria" w:eastAsia="仿宋_GB2312" w:cstheme="majorBidi"/>
      <w:kern w:val="2"/>
      <w:sz w:val="32"/>
      <w:szCs w:val="32"/>
    </w:rPr>
  </w:style>
  <w:style w:type="paragraph" w:customStyle="1" w:styleId="68">
    <w:name w:val="样式3"/>
    <w:basedOn w:val="3"/>
    <w:link w:val="69"/>
    <w:qFormat/>
    <w:uiPriority w:val="0"/>
    <w:pPr>
      <w:numPr>
        <w:ilvl w:val="0"/>
        <w:numId w:val="4"/>
      </w:numPr>
      <w:spacing w:before="260"/>
    </w:pPr>
  </w:style>
  <w:style w:type="character" w:customStyle="1" w:styleId="69">
    <w:name w:val="样式3 Char"/>
    <w:basedOn w:val="47"/>
    <w:link w:val="68"/>
    <w:qFormat/>
    <w:uiPriority w:val="0"/>
    <w:rPr>
      <w:rFonts w:asciiTheme="majorHAnsi" w:hAnsiTheme="majorHAnsi" w:eastAsiaTheme="majorEastAsia" w:cstheme="majorBidi"/>
      <w:kern w:val="2"/>
      <w:sz w:val="32"/>
      <w:szCs w:val="32"/>
    </w:rPr>
  </w:style>
  <w:style w:type="paragraph" w:customStyle="1" w:styleId="70">
    <w:name w:val="列出段落11"/>
    <w:basedOn w:val="1"/>
    <w:qFormat/>
    <w:uiPriority w:val="34"/>
    <w:pPr>
      <w:ind w:firstLine="420" w:firstLineChars="200"/>
    </w:pPr>
  </w:style>
  <w:style w:type="character" w:customStyle="1" w:styleId="71">
    <w:name w:val="CharAttribute10"/>
    <w:qFormat/>
    <w:uiPriority w:val="0"/>
    <w:rPr>
      <w:rFonts w:ascii="仿宋_GB2312" w:eastAsia="仿宋_GB2312"/>
      <w:sz w:val="32"/>
    </w:rPr>
  </w:style>
  <w:style w:type="character" w:customStyle="1" w:styleId="72">
    <w:name w:val="16"/>
    <w:qFormat/>
    <w:uiPriority w:val="0"/>
    <w:rPr>
      <w:rFonts w:ascii="Calibri" w:hAnsi="Calibri"/>
    </w:rPr>
  </w:style>
  <w:style w:type="paragraph" w:styleId="73">
    <w:name w:val="List Paragraph"/>
    <w:basedOn w:val="1"/>
    <w:qFormat/>
    <w:uiPriority w:val="34"/>
    <w:pPr>
      <w:ind w:firstLine="420" w:firstLineChars="200"/>
    </w:pPr>
  </w:style>
  <w:style w:type="paragraph" w:customStyle="1" w:styleId="74">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75">
    <w:name w:val="样式 标题 33h33rd levelH3Underrubrik21.1.1 Heading 3sect1.2.3..."/>
    <w:basedOn w:val="4"/>
    <w:next w:val="1"/>
    <w:uiPriority w:val="0"/>
    <w:pPr>
      <w:spacing w:line="415" w:lineRule="auto"/>
    </w:pPr>
    <w:rPr>
      <w:rFonts w:ascii="Times New Roman" w:hAnsi="Times New Roman" w:eastAsia="黑体" w:cs="Times New Roman"/>
      <w:kern w:val="44"/>
      <w:sz w:val="28"/>
      <w:szCs w:val="20"/>
    </w:rPr>
  </w:style>
  <w:style w:type="paragraph" w:customStyle="1" w:styleId="76">
    <w:name w:val="表编号"/>
    <w:basedOn w:val="1"/>
    <w:next w:val="1"/>
    <w:link w:val="77"/>
    <w:qFormat/>
    <w:uiPriority w:val="0"/>
    <w:pPr>
      <w:numPr>
        <w:ilvl w:val="0"/>
        <w:numId w:val="5"/>
      </w:numPr>
      <w:jc w:val="center"/>
    </w:pPr>
    <w:rPr>
      <w:rFonts w:ascii="Times New Roman" w:hAnsi="Times New Roman" w:cs="Times New Roman"/>
      <w:szCs w:val="20"/>
    </w:rPr>
  </w:style>
  <w:style w:type="character" w:customStyle="1" w:styleId="77">
    <w:name w:val="表编号 Char"/>
    <w:basedOn w:val="39"/>
    <w:link w:val="76"/>
    <w:qFormat/>
    <w:uiPriority w:val="0"/>
    <w:rPr>
      <w:rFonts w:eastAsia="仿宋_GB2312"/>
      <w:kern w:val="2"/>
      <w:sz w:val="28"/>
    </w:rPr>
  </w:style>
  <w:style w:type="paragraph" w:customStyle="1" w:styleId="78">
    <w:name w:val="图编号"/>
    <w:basedOn w:val="1"/>
    <w:next w:val="1"/>
    <w:link w:val="79"/>
    <w:qFormat/>
    <w:uiPriority w:val="0"/>
    <w:pPr>
      <w:jc w:val="center"/>
      <w:outlineLvl w:val="8"/>
    </w:pPr>
    <w:rPr>
      <w:rFonts w:ascii="Times New Roman" w:hAnsi="Times New Roman" w:cs="Times New Roman"/>
      <w:szCs w:val="24"/>
    </w:rPr>
  </w:style>
  <w:style w:type="character" w:customStyle="1" w:styleId="79">
    <w:name w:val="图编号 Char1"/>
    <w:basedOn w:val="39"/>
    <w:link w:val="78"/>
    <w:qFormat/>
    <w:uiPriority w:val="0"/>
    <w:rPr>
      <w:rFonts w:eastAsia="仿宋_GB2312"/>
      <w:kern w:val="2"/>
      <w:sz w:val="28"/>
      <w:szCs w:val="24"/>
    </w:rPr>
  </w:style>
  <w:style w:type="character" w:customStyle="1" w:styleId="80">
    <w:name w:val="纯文本 字符"/>
    <w:basedOn w:val="39"/>
    <w:link w:val="19"/>
    <w:qFormat/>
    <w:uiPriority w:val="0"/>
    <w:rPr>
      <w:rFonts w:ascii="宋体" w:hAnsi="Courier New" w:eastAsia="仿宋_GB2312" w:cs="Courier New"/>
      <w:kern w:val="2"/>
      <w:sz w:val="21"/>
      <w:szCs w:val="21"/>
    </w:rPr>
  </w:style>
  <w:style w:type="paragraph" w:customStyle="1" w:styleId="81">
    <w:name w:val="文档正文"/>
    <w:basedOn w:val="1"/>
    <w:qFormat/>
    <w:uiPriority w:val="0"/>
    <w:pPr>
      <w:adjustRightInd w:val="0"/>
      <w:spacing w:line="500" w:lineRule="exact"/>
      <w:ind w:firstLine="480"/>
      <w:textAlignment w:val="baseline"/>
    </w:pPr>
    <w:rPr>
      <w:rFonts w:ascii="宋体" w:hAnsi="Times New Roman" w:cs="Times New Roman"/>
      <w:kern w:val="0"/>
      <w:szCs w:val="20"/>
    </w:rPr>
  </w:style>
  <w:style w:type="paragraph" w:customStyle="1" w:styleId="82">
    <w:name w:val="缩进"/>
    <w:basedOn w:val="1"/>
    <w:next w:val="1"/>
    <w:qFormat/>
    <w:uiPriority w:val="0"/>
    <w:pPr>
      <w:ind w:firstLine="420"/>
    </w:pPr>
    <w:rPr>
      <w:rFonts w:ascii="Times New Roman" w:hAnsi="Times New Roman" w:cs="Times New Roman"/>
      <w:szCs w:val="20"/>
    </w:rPr>
  </w:style>
  <w:style w:type="paragraph" w:customStyle="1" w:styleId="83">
    <w:name w:val="图编号 Char"/>
    <w:basedOn w:val="1"/>
    <w:qFormat/>
    <w:uiPriority w:val="0"/>
    <w:pPr>
      <w:tabs>
        <w:tab w:val="left" w:pos="1559"/>
      </w:tabs>
      <w:ind w:left="1559" w:hanging="1559"/>
      <w:jc w:val="center"/>
    </w:pPr>
    <w:rPr>
      <w:rFonts w:ascii="Times New Roman" w:hAnsi="Times New Roman" w:cs="Times New Roman"/>
      <w:szCs w:val="24"/>
    </w:rPr>
  </w:style>
  <w:style w:type="paragraph" w:customStyle="1" w:styleId="84">
    <w:name w:val="表格文字"/>
    <w:basedOn w:val="1"/>
    <w:next w:val="1"/>
    <w:qFormat/>
    <w:uiPriority w:val="0"/>
    <w:pPr>
      <w:spacing w:line="240" w:lineRule="auto"/>
    </w:pPr>
    <w:rPr>
      <w:rFonts w:ascii="Times New Roman" w:hAnsi="Times New Roman" w:cs="Times New Roman"/>
      <w:sz w:val="21"/>
      <w:szCs w:val="20"/>
    </w:rPr>
  </w:style>
  <w:style w:type="character" w:customStyle="1" w:styleId="85">
    <w:name w:val="批注文字 字符"/>
    <w:basedOn w:val="39"/>
    <w:link w:val="15"/>
    <w:semiHidden/>
    <w:qFormat/>
    <w:uiPriority w:val="99"/>
    <w:rPr>
      <w:rFonts w:eastAsia="仿宋_GB2312"/>
      <w:kern w:val="2"/>
      <w:sz w:val="21"/>
    </w:rPr>
  </w:style>
  <w:style w:type="character" w:customStyle="1" w:styleId="86">
    <w:name w:val="批注主题 字符"/>
    <w:basedOn w:val="85"/>
    <w:link w:val="34"/>
    <w:semiHidden/>
    <w:qFormat/>
    <w:uiPriority w:val="99"/>
    <w:rPr>
      <w:rFonts w:eastAsia="仿宋_GB2312"/>
      <w:b/>
      <w:bCs/>
      <w:kern w:val="2"/>
      <w:sz w:val="21"/>
    </w:rPr>
  </w:style>
  <w:style w:type="paragraph" w:customStyle="1" w:styleId="87">
    <w:name w:val="样式 小四 行距: 1.5 倍行距"/>
    <w:basedOn w:val="1"/>
    <w:qFormat/>
    <w:uiPriority w:val="0"/>
    <w:pPr>
      <w:spacing w:line="312" w:lineRule="auto"/>
    </w:pPr>
    <w:rPr>
      <w:rFonts w:ascii="Times New Roman" w:hAnsi="Times New Roman" w:cs="宋体"/>
      <w:szCs w:val="20"/>
    </w:rPr>
  </w:style>
  <w:style w:type="paragraph" w:customStyle="1" w:styleId="88">
    <w:name w:val="表正文"/>
    <w:basedOn w:val="1"/>
    <w:next w:val="1"/>
    <w:qFormat/>
    <w:uiPriority w:val="0"/>
    <w:pPr>
      <w:widowControl/>
      <w:spacing w:line="240" w:lineRule="auto"/>
      <w:jc w:val="left"/>
    </w:pPr>
    <w:rPr>
      <w:rFonts w:ascii="宋体" w:hAnsi="宋体" w:cs="Times New Roman"/>
      <w:b/>
      <w:bCs/>
      <w:color w:val="000000"/>
      <w:sz w:val="18"/>
      <w:szCs w:val="18"/>
    </w:rPr>
  </w:style>
  <w:style w:type="paragraph" w:customStyle="1" w:styleId="89">
    <w:name w:val="缺省文本"/>
    <w:basedOn w:val="1"/>
    <w:qFormat/>
    <w:uiPriority w:val="0"/>
    <w:pPr>
      <w:autoSpaceDE w:val="0"/>
      <w:autoSpaceDN w:val="0"/>
      <w:adjustRightInd w:val="0"/>
      <w:spacing w:beforeLines="50" w:afterLines="50" w:line="300" w:lineRule="auto"/>
      <w:jc w:val="left"/>
    </w:pPr>
    <w:rPr>
      <w:rFonts w:ascii="宋体" w:hAnsi="宋体" w:cs="Times New Roman"/>
      <w:kern w:val="0"/>
      <w:szCs w:val="24"/>
    </w:rPr>
  </w:style>
  <w:style w:type="paragraph" w:customStyle="1" w:styleId="90">
    <w:name w:val="样式 正文缩进正文（首行缩进两字）表正文正文非缩进Normal Indent特点Alt+Xmr正文缩进正文缩进W..."/>
    <w:basedOn w:val="1"/>
    <w:qFormat/>
    <w:uiPriority w:val="0"/>
    <w:pPr>
      <w:adjustRightInd w:val="0"/>
      <w:spacing w:line="312" w:lineRule="auto"/>
      <w:textAlignment w:val="baseline"/>
    </w:pPr>
    <w:rPr>
      <w:rFonts w:ascii="宋体" w:hAnsi="宋体" w:cs="Times New Roman"/>
      <w:bCs/>
      <w:szCs w:val="24"/>
    </w:rPr>
  </w:style>
  <w:style w:type="paragraph" w:customStyle="1" w:styleId="91">
    <w:name w:val="样式 正文缩进正文（首行缩进两字）±íÕýÎÄÕýÎÄ·ÇËõ½ø±í正文1正文缩进1正文缩进陈木华中文正文表..."/>
    <w:basedOn w:val="1"/>
    <w:qFormat/>
    <w:uiPriority w:val="0"/>
    <w:pPr>
      <w:spacing w:line="240" w:lineRule="auto"/>
      <w:ind w:firstLine="358" w:firstLineChars="170"/>
    </w:pPr>
    <w:rPr>
      <w:rFonts w:ascii="Times New Roman" w:hAnsi="Times New Roman" w:cs="宋体"/>
      <w:b/>
      <w:i/>
      <w:sz w:val="21"/>
      <w:szCs w:val="21"/>
    </w:rPr>
  </w:style>
  <w:style w:type="paragraph" w:customStyle="1" w:styleId="92">
    <w:name w:val="TOC Heading"/>
    <w:basedOn w:val="2"/>
    <w:next w:val="1"/>
    <w:unhideWhenUsed/>
    <w:qFormat/>
    <w:uiPriority w:val="39"/>
    <w:pPr>
      <w:outlineLvl w:val="9"/>
    </w:pPr>
    <w:rPr>
      <w:rFonts w:ascii="Times New Roman" w:hAnsi="Times New Roman" w:eastAsia="黑体" w:cs="Times New Roman"/>
      <w:sz w:val="32"/>
    </w:rPr>
  </w:style>
  <w:style w:type="table" w:customStyle="1" w:styleId="93">
    <w:name w:val="无格式表格 11"/>
    <w:basedOn w:val="36"/>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fixed"/>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94">
    <w:name w:val="网格型浅色1"/>
    <w:basedOn w:val="36"/>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fixed"/>
    </w:tblPr>
  </w:style>
  <w:style w:type="character" w:customStyle="1" w:styleId="95">
    <w:name w:val="脚注文本 字符"/>
    <w:link w:val="27"/>
    <w:qFormat/>
    <w:uiPriority w:val="99"/>
    <w:rPr>
      <w:sz w:val="18"/>
      <w:szCs w:val="18"/>
    </w:rPr>
  </w:style>
  <w:style w:type="character" w:customStyle="1" w:styleId="96">
    <w:name w:val="脚注文本 字符1"/>
    <w:basedOn w:val="39"/>
    <w:semiHidden/>
    <w:qFormat/>
    <w:uiPriority w:val="99"/>
    <w:rPr>
      <w:rFonts w:eastAsia="仿宋_GB2312" w:asciiTheme="minorHAnsi" w:hAnsiTheme="minorHAnsi" w:cstheme="minorBidi"/>
      <w:kern w:val="2"/>
      <w:sz w:val="18"/>
      <w:szCs w:val="18"/>
    </w:rPr>
  </w:style>
  <w:style w:type="character" w:customStyle="1" w:styleId="97">
    <w:name w:val="脚注文本 Char1"/>
    <w:basedOn w:val="39"/>
    <w:semiHidden/>
    <w:qFormat/>
    <w:uiPriority w:val="99"/>
    <w:rPr>
      <w:rFonts w:eastAsia="仿宋_GB2312"/>
      <w:kern w:val="2"/>
      <w:sz w:val="18"/>
      <w:szCs w:val="18"/>
    </w:rPr>
  </w:style>
  <w:style w:type="character" w:customStyle="1" w:styleId="98">
    <w:name w:val="apple-converted-space"/>
    <w:basedOn w:val="39"/>
    <w:qFormat/>
    <w:uiPriority w:val="0"/>
  </w:style>
  <w:style w:type="character" w:customStyle="1" w:styleId="99">
    <w:name w:val="标题 字符"/>
    <w:basedOn w:val="39"/>
    <w:link w:val="33"/>
    <w:qFormat/>
    <w:uiPriority w:val="10"/>
    <w:rPr>
      <w:rFonts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0B8703-67FA-4649-BB84-9A362089ECE8}">
  <ds:schemaRefs/>
</ds:datastoreItem>
</file>

<file path=docProps/app.xml><?xml version="1.0" encoding="utf-8"?>
<Properties xmlns="http://schemas.openxmlformats.org/officeDocument/2006/extended-properties" xmlns:vt="http://schemas.openxmlformats.org/officeDocument/2006/docPropsVTypes">
  <Template>Normal</Template>
  <Pages>134</Pages>
  <Words>11760</Words>
  <Characters>67038</Characters>
  <Lines>558</Lines>
  <Paragraphs>157</Paragraphs>
  <TotalTime>71</TotalTime>
  <ScaleCrop>false</ScaleCrop>
  <LinksUpToDate>false</LinksUpToDate>
  <CharactersWithSpaces>78641</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2018-11-01T05:48:00Z</dcterms:created>
  <dc:creator>QYJ</dc:creator>
  <cp:lastModifiedBy>朱洁</cp:lastModifiedBy>
  <cp:lastPrinted>2018-08-13T05:55:00Z</cp:lastPrinted>
  <dcterms:modified xsi:type="dcterms:W3CDTF">2019-09-09T07:45:54Z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